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D1C81">
      <w:pPr>
        <w:pStyle w:val="6"/>
        <w:spacing w:line="265" w:lineRule="auto"/>
      </w:pPr>
    </w:p>
    <w:p w14:paraId="0FFEFD51">
      <w:pPr>
        <w:pStyle w:val="6"/>
        <w:spacing w:line="265" w:lineRule="auto"/>
      </w:pPr>
    </w:p>
    <w:p w14:paraId="2863B5FB">
      <w:pPr>
        <w:pStyle w:val="6"/>
        <w:spacing w:line="266" w:lineRule="auto"/>
      </w:pPr>
    </w:p>
    <w:p w14:paraId="79B1EE93">
      <w:pPr>
        <w:spacing w:before="140" w:line="223" w:lineRule="auto"/>
        <w:ind w:left="1760"/>
        <w:outlineLvl w:val="0"/>
        <w:rPr>
          <w:rFonts w:ascii="宋体" w:hAnsi="宋体" w:eastAsia="宋体" w:cs="宋体"/>
          <w:sz w:val="43"/>
          <w:szCs w:val="43"/>
        </w:rPr>
      </w:pPr>
      <w:r>
        <w:rPr>
          <w:rFonts w:ascii="宋体" w:hAnsi="宋体" w:eastAsia="宋体" w:cs="宋体"/>
          <w:b/>
          <w:bCs/>
          <w:spacing w:val="2"/>
          <w:sz w:val="43"/>
          <w:szCs w:val="43"/>
        </w:rPr>
        <w:t>陕西燃气集团工程有限公司</w:t>
      </w:r>
    </w:p>
    <w:p w14:paraId="16A4D9C5">
      <w:pPr>
        <w:pStyle w:val="6"/>
        <w:spacing w:line="346" w:lineRule="auto"/>
      </w:pPr>
    </w:p>
    <w:p w14:paraId="0E4BF2B0">
      <w:pPr>
        <w:spacing w:before="130" w:line="476" w:lineRule="auto"/>
        <w:ind w:left="4372" w:leftChars="0" w:hanging="4372" w:hangingChars="1134"/>
        <w:jc w:val="center"/>
        <w:rPr>
          <w:rFonts w:hint="default" w:ascii="宋体" w:hAnsi="宋体" w:eastAsia="宋体" w:cs="宋体"/>
          <w:b/>
          <w:bCs/>
          <w:color w:val="auto"/>
          <w:spacing w:val="-8"/>
          <w:sz w:val="40"/>
          <w:szCs w:val="40"/>
          <w:lang w:val="en-US" w:eastAsia="zh-CN"/>
        </w:rPr>
      </w:pPr>
      <w:r>
        <w:rPr>
          <w:rFonts w:hint="eastAsia" w:ascii="宋体" w:hAnsi="宋体" w:eastAsia="宋体" w:cs="宋体"/>
          <w:b/>
          <w:bCs/>
          <w:color w:val="auto"/>
          <w:spacing w:val="-8"/>
          <w:sz w:val="40"/>
          <w:szCs w:val="40"/>
          <w:lang w:eastAsia="zh-CN"/>
        </w:rPr>
        <w:t>陇漳岷天然气长输管道输配工程（陇漳段）项</w:t>
      </w:r>
      <w:r>
        <w:rPr>
          <w:rFonts w:hint="eastAsia" w:ascii="宋体" w:hAnsi="宋体" w:eastAsia="宋体" w:cs="宋体"/>
          <w:b/>
          <w:bCs/>
          <w:color w:val="auto"/>
          <w:spacing w:val="-8"/>
          <w:sz w:val="40"/>
          <w:szCs w:val="40"/>
          <w:lang w:val="en-US" w:eastAsia="zh-CN"/>
        </w:rPr>
        <w:t>目</w:t>
      </w:r>
    </w:p>
    <w:p w14:paraId="3F743A89">
      <w:pPr>
        <w:spacing w:before="130" w:line="476" w:lineRule="auto"/>
        <w:ind w:left="3919" w:leftChars="0" w:hanging="3919" w:hangingChars="1134"/>
        <w:jc w:val="center"/>
        <w:rPr>
          <w:rFonts w:ascii="宋体" w:hAnsi="宋体" w:eastAsia="宋体" w:cs="宋体"/>
          <w:color w:val="auto"/>
          <w:sz w:val="40"/>
          <w:szCs w:val="40"/>
        </w:rPr>
      </w:pPr>
      <w:r>
        <w:rPr>
          <w:rFonts w:hint="eastAsia" w:ascii="宋体" w:hAnsi="宋体" w:eastAsia="宋体" w:cs="宋体"/>
          <w:b/>
          <w:bCs/>
          <w:color w:val="auto"/>
          <w:spacing w:val="-8"/>
          <w:w w:val="90"/>
          <w:sz w:val="40"/>
          <w:szCs w:val="40"/>
          <w:lang w:val="en-US" w:eastAsia="zh-CN"/>
        </w:rPr>
        <w:t>(Ⅱ标段)施工</w:t>
      </w:r>
      <w:r>
        <w:rPr>
          <w:rFonts w:ascii="宋体" w:hAnsi="宋体" w:eastAsia="宋体" w:cs="宋体"/>
          <w:b/>
          <w:bCs/>
          <w:color w:val="auto"/>
          <w:spacing w:val="-5"/>
          <w:sz w:val="40"/>
          <w:szCs w:val="40"/>
        </w:rPr>
        <w:t>劳务分包</w:t>
      </w:r>
    </w:p>
    <w:p w14:paraId="56EB22C0">
      <w:pPr>
        <w:pStyle w:val="6"/>
        <w:spacing w:line="277" w:lineRule="auto"/>
      </w:pPr>
    </w:p>
    <w:p w14:paraId="66F2ED9D">
      <w:pPr>
        <w:pStyle w:val="6"/>
        <w:spacing w:line="277" w:lineRule="auto"/>
      </w:pPr>
    </w:p>
    <w:p w14:paraId="1E483B8A">
      <w:pPr>
        <w:pStyle w:val="6"/>
        <w:spacing w:line="277" w:lineRule="auto"/>
      </w:pPr>
    </w:p>
    <w:p w14:paraId="2D89954E">
      <w:pPr>
        <w:pStyle w:val="6"/>
        <w:spacing w:line="277" w:lineRule="auto"/>
      </w:pPr>
    </w:p>
    <w:p w14:paraId="2D5BD8FD">
      <w:pPr>
        <w:pStyle w:val="6"/>
        <w:spacing w:line="278" w:lineRule="auto"/>
      </w:pPr>
    </w:p>
    <w:p w14:paraId="62963CD2">
      <w:pPr>
        <w:spacing w:before="140" w:line="222" w:lineRule="auto"/>
        <w:ind w:left="2287"/>
        <w:outlineLvl w:val="0"/>
        <w:rPr>
          <w:rFonts w:ascii="宋体" w:hAnsi="宋体" w:eastAsia="宋体" w:cs="宋体"/>
          <w:sz w:val="43"/>
          <w:szCs w:val="43"/>
        </w:rPr>
      </w:pPr>
      <w:r>
        <w:rPr>
          <w:rFonts w:ascii="宋体" w:hAnsi="宋体" w:eastAsia="宋体" w:cs="宋体"/>
          <w:b/>
          <w:bCs/>
          <w:spacing w:val="4"/>
          <w:sz w:val="43"/>
          <w:szCs w:val="43"/>
        </w:rPr>
        <w:t>竞争性谈判采购文件</w:t>
      </w:r>
    </w:p>
    <w:p w14:paraId="09AF3431">
      <w:pPr>
        <w:pStyle w:val="6"/>
        <w:spacing w:line="269" w:lineRule="auto"/>
      </w:pPr>
    </w:p>
    <w:p w14:paraId="4AD27961">
      <w:pPr>
        <w:pStyle w:val="6"/>
        <w:spacing w:line="269" w:lineRule="auto"/>
      </w:pPr>
    </w:p>
    <w:p w14:paraId="1CA4DE64">
      <w:pPr>
        <w:pStyle w:val="6"/>
        <w:spacing w:line="269" w:lineRule="auto"/>
      </w:pPr>
    </w:p>
    <w:p w14:paraId="13E745AB">
      <w:pPr>
        <w:pStyle w:val="6"/>
        <w:spacing w:line="269" w:lineRule="auto"/>
      </w:pPr>
    </w:p>
    <w:p w14:paraId="69720697">
      <w:pPr>
        <w:pStyle w:val="6"/>
        <w:spacing w:line="269" w:lineRule="auto"/>
      </w:pPr>
    </w:p>
    <w:p w14:paraId="254C5AAB">
      <w:pPr>
        <w:pStyle w:val="6"/>
        <w:spacing w:line="269" w:lineRule="auto"/>
      </w:pPr>
    </w:p>
    <w:p w14:paraId="00E26C4F">
      <w:pPr>
        <w:pStyle w:val="6"/>
        <w:spacing w:line="270" w:lineRule="auto"/>
      </w:pPr>
    </w:p>
    <w:p w14:paraId="58158AE5">
      <w:pPr>
        <w:pStyle w:val="6"/>
        <w:spacing w:line="270" w:lineRule="auto"/>
      </w:pPr>
    </w:p>
    <w:p w14:paraId="3F91E1F8">
      <w:pPr>
        <w:spacing w:before="139" w:line="223" w:lineRule="auto"/>
        <w:ind w:left="1640"/>
        <w:outlineLvl w:val="1"/>
        <w:rPr>
          <w:rFonts w:ascii="宋体" w:hAnsi="宋体" w:eastAsia="宋体" w:cs="宋体"/>
          <w:sz w:val="43"/>
          <w:szCs w:val="43"/>
        </w:rPr>
      </w:pPr>
      <w:r>
        <w:rPr>
          <w:rFonts w:ascii="宋体" w:hAnsi="宋体" w:eastAsia="宋体" w:cs="宋体"/>
          <w:b/>
          <w:bCs/>
          <w:spacing w:val="2"/>
          <w:sz w:val="43"/>
          <w:szCs w:val="43"/>
        </w:rPr>
        <w:t>陕西燃气集团工程有限公司</w:t>
      </w:r>
    </w:p>
    <w:p w14:paraId="0BDD18FB">
      <w:pPr>
        <w:spacing w:before="366" w:line="223" w:lineRule="auto"/>
        <w:jc w:val="center"/>
        <w:outlineLvl w:val="1"/>
        <w:rPr>
          <w:rFonts w:hint="eastAsia" w:ascii="宋体" w:hAnsi="宋体" w:eastAsia="宋体" w:cs="宋体"/>
          <w:sz w:val="43"/>
          <w:szCs w:val="43"/>
          <w:lang w:eastAsia="zh-CN"/>
        </w:rPr>
      </w:pPr>
      <w:r>
        <w:rPr>
          <w:rFonts w:ascii="宋体" w:hAnsi="宋体" w:eastAsia="宋体" w:cs="宋体"/>
          <w:b/>
          <w:bCs/>
          <w:spacing w:val="3"/>
          <w:sz w:val="43"/>
          <w:szCs w:val="43"/>
        </w:rPr>
        <w:t>项目管理部</w:t>
      </w:r>
      <w:r>
        <w:rPr>
          <w:rFonts w:hint="eastAsia" w:ascii="宋体" w:hAnsi="宋体" w:eastAsia="宋体" w:cs="宋体"/>
          <w:b/>
          <w:bCs/>
          <w:spacing w:val="3"/>
          <w:sz w:val="43"/>
          <w:szCs w:val="43"/>
          <w:lang w:eastAsia="zh-CN"/>
        </w:rPr>
        <w:t>（</w:t>
      </w:r>
      <w:r>
        <w:rPr>
          <w:rFonts w:hint="eastAsia" w:ascii="宋体" w:hAnsi="宋体" w:eastAsia="宋体" w:cs="宋体"/>
          <w:b/>
          <w:bCs/>
          <w:spacing w:val="3"/>
          <w:sz w:val="43"/>
          <w:szCs w:val="43"/>
          <w:lang w:val="en-US" w:eastAsia="zh-CN"/>
        </w:rPr>
        <w:t>安全办公室</w:t>
      </w:r>
      <w:r>
        <w:rPr>
          <w:rFonts w:hint="eastAsia" w:ascii="宋体" w:hAnsi="宋体" w:eastAsia="宋体" w:cs="宋体"/>
          <w:b/>
          <w:bCs/>
          <w:spacing w:val="3"/>
          <w:sz w:val="43"/>
          <w:szCs w:val="43"/>
          <w:lang w:eastAsia="zh-CN"/>
        </w:rPr>
        <w:t>）</w:t>
      </w:r>
    </w:p>
    <w:p w14:paraId="39BA9340">
      <w:pPr>
        <w:spacing w:before="364" w:line="223" w:lineRule="auto"/>
        <w:ind w:left="2730"/>
        <w:outlineLvl w:val="1"/>
        <w:rPr>
          <w:rFonts w:ascii="宋体" w:hAnsi="宋体" w:eastAsia="宋体" w:cs="宋体"/>
          <w:sz w:val="43"/>
          <w:szCs w:val="43"/>
        </w:rPr>
      </w:pPr>
      <w:r>
        <w:rPr>
          <w:rFonts w:ascii="宋体" w:hAnsi="宋体" w:eastAsia="宋体" w:cs="宋体"/>
          <w:b/>
          <w:bCs/>
          <w:spacing w:val="3"/>
          <w:sz w:val="43"/>
          <w:szCs w:val="43"/>
        </w:rPr>
        <w:t>二〇二四年</w:t>
      </w:r>
      <w:r>
        <w:rPr>
          <w:rFonts w:hint="eastAsia" w:ascii="宋体" w:hAnsi="宋体" w:eastAsia="宋体" w:cs="宋体"/>
          <w:b/>
          <w:bCs/>
          <w:spacing w:val="3"/>
          <w:sz w:val="43"/>
          <w:szCs w:val="43"/>
          <w:lang w:val="en-US" w:eastAsia="zh-CN"/>
        </w:rPr>
        <w:t>十</w:t>
      </w:r>
      <w:r>
        <w:rPr>
          <w:rFonts w:ascii="宋体" w:hAnsi="宋体" w:eastAsia="宋体" w:cs="宋体"/>
          <w:b/>
          <w:bCs/>
          <w:spacing w:val="3"/>
          <w:sz w:val="43"/>
          <w:szCs w:val="43"/>
        </w:rPr>
        <w:t>月</w:t>
      </w:r>
    </w:p>
    <w:p w14:paraId="36F82DE9">
      <w:pPr>
        <w:spacing w:line="223" w:lineRule="auto"/>
        <w:rPr>
          <w:rFonts w:ascii="宋体" w:hAnsi="宋体" w:eastAsia="宋体" w:cs="宋体"/>
          <w:sz w:val="43"/>
          <w:szCs w:val="43"/>
        </w:rPr>
        <w:sectPr>
          <w:footerReference r:id="rId5" w:type="default"/>
          <w:pgSz w:w="11906" w:h="16839"/>
          <w:pgMar w:top="1431" w:right="1631" w:bottom="1156" w:left="1757" w:header="0" w:footer="994" w:gutter="0"/>
          <w:cols w:space="720" w:num="1"/>
        </w:sectPr>
      </w:pPr>
    </w:p>
    <w:p w14:paraId="2AF6453A">
      <w:pPr>
        <w:spacing w:before="101" w:line="225" w:lineRule="auto"/>
        <w:ind w:left="2522"/>
        <w:rPr>
          <w:rFonts w:ascii="宋体" w:hAnsi="宋体" w:eastAsia="宋体" w:cs="宋体"/>
          <w:sz w:val="31"/>
          <w:szCs w:val="31"/>
        </w:rPr>
      </w:pPr>
      <w:r>
        <w:rPr>
          <w:rFonts w:ascii="宋体" w:hAnsi="宋体" w:eastAsia="宋体" w:cs="宋体"/>
          <w:b/>
          <w:bCs/>
          <w:spacing w:val="4"/>
          <w:sz w:val="31"/>
          <w:szCs w:val="31"/>
        </w:rPr>
        <w:t>陕西燃气集团工程有限公司</w:t>
      </w:r>
    </w:p>
    <w:p w14:paraId="2F93E5C5">
      <w:pPr>
        <w:spacing w:before="61" w:line="225" w:lineRule="auto"/>
        <w:ind w:left="1012"/>
        <w:rPr>
          <w:rFonts w:hint="eastAsia" w:ascii="宋体" w:hAnsi="宋体" w:eastAsia="宋体" w:cs="宋体"/>
          <w:sz w:val="31"/>
          <w:szCs w:val="31"/>
          <w:lang w:eastAsia="zh-CN"/>
        </w:rPr>
      </w:pPr>
      <w:r>
        <w:rPr>
          <w:rFonts w:hint="eastAsia" w:ascii="宋体" w:hAnsi="宋体" w:eastAsia="宋体" w:cs="宋体"/>
          <w:b/>
          <w:bCs/>
          <w:spacing w:val="2"/>
          <w:sz w:val="31"/>
          <w:szCs w:val="31"/>
          <w:lang w:eastAsia="zh-CN"/>
        </w:rPr>
        <w:t>陇漳岷天然气长输管道输配工程（陇漳段）项目</w:t>
      </w:r>
    </w:p>
    <w:p w14:paraId="7C1B55D8">
      <w:pPr>
        <w:spacing w:before="62" w:line="223" w:lineRule="auto"/>
        <w:ind w:firstLine="292" w:firstLineChars="100"/>
        <w:jc w:val="center"/>
        <w:rPr>
          <w:rFonts w:ascii="宋体" w:hAnsi="宋体" w:eastAsia="宋体" w:cs="宋体"/>
          <w:b/>
          <w:bCs/>
          <w:spacing w:val="6"/>
          <w:w w:val="90"/>
          <w:sz w:val="31"/>
          <w:szCs w:val="31"/>
        </w:rPr>
      </w:pPr>
      <w:r>
        <w:rPr>
          <w:rFonts w:hint="eastAsia" w:ascii="宋体" w:hAnsi="宋体" w:eastAsia="宋体" w:cs="宋体"/>
          <w:b/>
          <w:bCs/>
          <w:color w:val="auto"/>
          <w:spacing w:val="6"/>
          <w:w w:val="90"/>
          <w:sz w:val="31"/>
          <w:szCs w:val="31"/>
          <w:lang w:eastAsia="zh-CN"/>
        </w:rPr>
        <w:t>（Ⅱ标段）</w:t>
      </w:r>
      <w:r>
        <w:rPr>
          <w:rFonts w:ascii="宋体" w:hAnsi="宋体" w:eastAsia="宋体" w:cs="宋体"/>
          <w:b/>
          <w:bCs/>
          <w:spacing w:val="6"/>
          <w:w w:val="90"/>
          <w:sz w:val="31"/>
          <w:szCs w:val="31"/>
        </w:rPr>
        <w:t>施工劳务分包报价要求文件</w:t>
      </w:r>
    </w:p>
    <w:p w14:paraId="3C7AE69A">
      <w:pPr>
        <w:pStyle w:val="2"/>
      </w:pPr>
    </w:p>
    <w:p w14:paraId="6DF976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我公司拟对陇漳岷天然气长输管道输配工程（陇漳段）项目（Ⅱ标段）施工劳务分包进行比价洽谈，工程具体情况如下：</w:t>
      </w:r>
    </w:p>
    <w:p w14:paraId="48B6CD47">
      <w:pPr>
        <w:spacing w:before="54" w:line="433" w:lineRule="auto"/>
        <w:ind w:left="1" w:right="80" w:firstLine="481"/>
        <w:rPr>
          <w:rFonts w:ascii="宋体" w:hAnsi="宋体" w:eastAsia="宋体" w:cs="宋体"/>
          <w:sz w:val="24"/>
          <w:szCs w:val="24"/>
        </w:rPr>
      </w:pPr>
      <w:r>
        <w:rPr>
          <w:rFonts w:ascii="宋体" w:hAnsi="宋体" w:eastAsia="宋体" w:cs="宋体"/>
          <w:b/>
          <w:bCs/>
          <w:spacing w:val="-5"/>
          <w:sz w:val="24"/>
          <w:szCs w:val="24"/>
        </w:rPr>
        <w:t>一、项目名称</w:t>
      </w:r>
      <w:r>
        <w:rPr>
          <w:rFonts w:ascii="宋体" w:hAnsi="宋体" w:eastAsia="宋体" w:cs="宋体"/>
          <w:spacing w:val="-5"/>
          <w:sz w:val="24"/>
          <w:szCs w:val="24"/>
        </w:rPr>
        <w:t>：</w:t>
      </w:r>
      <w:r>
        <w:rPr>
          <w:rFonts w:hint="eastAsia" w:ascii="宋体" w:hAnsi="宋体" w:eastAsia="宋体" w:cs="宋体"/>
          <w:spacing w:val="-5"/>
          <w:sz w:val="24"/>
          <w:szCs w:val="24"/>
          <w:lang w:eastAsia="zh-CN"/>
        </w:rPr>
        <w:t>陇漳岷天然气长输管道输配工程（陇漳段）项目</w:t>
      </w:r>
      <w:r>
        <w:rPr>
          <w:rFonts w:hint="eastAsia" w:ascii="宋体" w:hAnsi="宋体" w:eastAsia="宋体" w:cs="宋体"/>
          <w:color w:val="auto"/>
          <w:spacing w:val="-5"/>
          <w:sz w:val="24"/>
          <w:szCs w:val="24"/>
          <w:lang w:eastAsia="zh-CN"/>
        </w:rPr>
        <w:t>（Ⅱ标段）</w:t>
      </w:r>
      <w:r>
        <w:rPr>
          <w:rFonts w:ascii="宋体" w:hAnsi="宋体" w:eastAsia="宋体" w:cs="宋体"/>
          <w:spacing w:val="-5"/>
          <w:sz w:val="24"/>
          <w:szCs w:val="24"/>
        </w:rPr>
        <w:t>施工劳</w:t>
      </w:r>
      <w:r>
        <w:rPr>
          <w:rFonts w:ascii="宋体" w:hAnsi="宋体" w:eastAsia="宋体" w:cs="宋体"/>
          <w:spacing w:val="-4"/>
          <w:sz w:val="24"/>
          <w:szCs w:val="24"/>
        </w:rPr>
        <w:t>务分包</w:t>
      </w:r>
    </w:p>
    <w:p w14:paraId="494ECE6A">
      <w:pPr>
        <w:spacing w:before="33" w:line="219" w:lineRule="auto"/>
        <w:ind w:left="483"/>
        <w:rPr>
          <w:rFonts w:ascii="宋体" w:hAnsi="宋体" w:eastAsia="宋体" w:cs="宋体"/>
          <w:sz w:val="24"/>
          <w:szCs w:val="24"/>
        </w:rPr>
      </w:pPr>
      <w:r>
        <w:rPr>
          <w:rFonts w:ascii="宋体" w:hAnsi="宋体" w:eastAsia="宋体" w:cs="宋体"/>
          <w:b/>
          <w:bCs/>
          <w:spacing w:val="-4"/>
          <w:sz w:val="24"/>
          <w:szCs w:val="24"/>
        </w:rPr>
        <w:t>二、工程概况</w:t>
      </w:r>
      <w:r>
        <w:rPr>
          <w:rFonts w:ascii="宋体" w:hAnsi="宋体" w:eastAsia="宋体" w:cs="宋体"/>
          <w:spacing w:val="-4"/>
          <w:sz w:val="24"/>
          <w:szCs w:val="24"/>
        </w:rPr>
        <w:t>：</w:t>
      </w:r>
    </w:p>
    <w:p w14:paraId="2767835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1、工程地点：甘肃省定西市陇西县、漳县</w:t>
      </w:r>
    </w:p>
    <w:p w14:paraId="3DC2331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2、工程概况：</w:t>
      </w:r>
    </w:p>
    <w:p w14:paraId="44B2FA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陇漳段由陇西末站（陇西县文峰镇）自东北向西南至漳县站，在漳县武阳镇柯寨村建设分输压气站、城市门站、应急调峰站各一座，线路全长34km，设计输气量3.5亿方/年，设计压力6.3MPa,</w:t>
      </w:r>
      <w:r>
        <w:rPr>
          <w:rFonts w:hint="eastAsia" w:ascii="宋体" w:hAnsi="宋体" w:eastAsia="宋体" w:cs="宋体"/>
          <w:snapToGrid/>
          <w:color w:val="000000"/>
          <w:kern w:val="2"/>
          <w:sz w:val="24"/>
          <w:szCs w:val="24"/>
          <w:lang w:val="zh-CN" w:eastAsia="zh-CN"/>
        </w:rPr>
        <w:t>管道规格为D</w:t>
      </w:r>
      <w:r>
        <w:rPr>
          <w:rFonts w:hint="eastAsia" w:ascii="宋体" w:hAnsi="宋体" w:eastAsia="宋体" w:cs="宋体"/>
          <w:snapToGrid/>
          <w:color w:val="000000"/>
          <w:kern w:val="2"/>
          <w:sz w:val="24"/>
          <w:szCs w:val="24"/>
          <w:lang w:val="en-US" w:eastAsia="zh-CN"/>
        </w:rPr>
        <w:t>323.9*7.1-8.0，材质为</w:t>
      </w:r>
      <w:r>
        <w:rPr>
          <w:rFonts w:hint="eastAsia" w:ascii="宋体" w:hAnsi="宋体" w:eastAsia="宋体" w:cs="宋体"/>
          <w:snapToGrid/>
          <w:color w:val="000000"/>
          <w:kern w:val="2"/>
          <w:sz w:val="24"/>
          <w:szCs w:val="24"/>
          <w:lang w:val="zh-CN" w:eastAsia="zh-CN"/>
        </w:rPr>
        <w:t xml:space="preserve"> L</w:t>
      </w:r>
      <w:r>
        <w:rPr>
          <w:rFonts w:hint="eastAsia" w:ascii="宋体" w:hAnsi="宋体" w:eastAsia="宋体" w:cs="宋体"/>
          <w:snapToGrid/>
          <w:color w:val="000000"/>
          <w:kern w:val="2"/>
          <w:sz w:val="24"/>
          <w:szCs w:val="24"/>
          <w:lang w:val="en-US" w:eastAsia="zh-CN"/>
        </w:rPr>
        <w:t>360</w:t>
      </w:r>
      <w:r>
        <w:rPr>
          <w:rFonts w:hint="eastAsia" w:ascii="宋体" w:hAnsi="宋体" w:eastAsia="宋体" w:cs="宋体"/>
          <w:snapToGrid/>
          <w:color w:val="000000"/>
          <w:kern w:val="2"/>
          <w:sz w:val="24"/>
          <w:szCs w:val="24"/>
          <w:lang w:val="zh-CN" w:eastAsia="zh-CN"/>
        </w:rPr>
        <w:t>M PSL2</w:t>
      </w:r>
      <w:r>
        <w:rPr>
          <w:rFonts w:hint="eastAsia" w:ascii="宋体" w:hAnsi="宋体" w:eastAsia="宋体" w:cs="宋体"/>
          <w:snapToGrid/>
          <w:color w:val="000000"/>
          <w:kern w:val="2"/>
          <w:sz w:val="24"/>
          <w:szCs w:val="24"/>
          <w:lang w:val="en-US" w:eastAsia="zh-CN"/>
        </w:rPr>
        <w:t>。</w:t>
      </w:r>
    </w:p>
    <w:p w14:paraId="4780685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3、具体采购内容包括:</w:t>
      </w:r>
    </w:p>
    <w:p w14:paraId="5A52D2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施工内容，甲方承包工程范围内的桦林阀室至漳县武阳镇柯寨村建设分输压气站之间长输燃气线路的土建工程、工艺管道工程、通信工程、水保工程。土建工程为：测量、放线、修便道、清扫作业带、管沟开挖、非开挖、管道下沟、回填、地质地貌恢复及复垦恢复、管道平衡压袋安装、固定推力支墩制作及安装、三桩一牌安装、定向钻及顶管施工的工作坑和接收坑的开挖及恢复、顶管作业的混凝土管管内填土、两端封堵、征地配合、对外协调等施工内容；工艺管道工程包括：测量、放线、管材的场内倒运、运管、布管、组对、焊接、管道吹扫、试压、通球、干燥、氮气置换；通信工程：穿越工程的镀锌焊接钢管焊接及安装、槽钢保护安装、硅芯管敷设、光纤敷设、一般线路的光纤敷设、光纤接头盒安装、硅芯管端头膨胀塞安装、硅芯管端头护缆塞安装、水泥盖板安装、电子表识器、普通标识器安装、直埋光纤接头坑施工，所有光缆的挑头接线，通信系统的调试；水保工程：草袋水土保持工程施工、粘土夯填截排水渠的施工，以及图纸范围内的除浆砌石水保工程之外的所有水保工程。具体工程内容以建设单位招标文件、设计文件、图纸、工程量清单等文件为准。</w:t>
      </w:r>
    </w:p>
    <w:p w14:paraId="1BE503C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2）材料供应：甲供材料详见甲供材清单，除甲供材外其余辅材均由乙方采购</w:t>
      </w:r>
    </w:p>
    <w:p w14:paraId="69BF8F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乙供物资应提供完整的质量证明文件。</w:t>
      </w:r>
    </w:p>
    <w:p w14:paraId="31877D7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3）竣工资料：配合项目部收集现场数据，完成现场施工记录资料。</w:t>
      </w:r>
    </w:p>
    <w:p w14:paraId="00CACA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4）施工措施：按照业主及项目部要求完成现场安全文明施工，包括施工围挡、垃圾清运、安全标识、标准化等全部安全文明及其他施工措施。</w:t>
      </w:r>
    </w:p>
    <w:p w14:paraId="0C957DE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5）其他：地方关系协调，配合单体和联合试运行、竣工验收、投产及保驾，工 程保修等。</w:t>
      </w:r>
    </w:p>
    <w:p w14:paraId="5A334342">
      <w:pPr>
        <w:spacing w:before="32" w:line="220" w:lineRule="auto"/>
        <w:ind w:left="480"/>
        <w:rPr>
          <w:rFonts w:ascii="宋体" w:hAnsi="宋体" w:eastAsia="宋体" w:cs="宋体"/>
          <w:sz w:val="24"/>
          <w:szCs w:val="24"/>
        </w:rPr>
      </w:pPr>
      <w:r>
        <w:rPr>
          <w:rFonts w:ascii="宋体" w:hAnsi="宋体" w:eastAsia="宋体" w:cs="宋体"/>
          <w:b/>
          <w:bCs/>
          <w:spacing w:val="-4"/>
          <w:sz w:val="24"/>
          <w:szCs w:val="24"/>
        </w:rPr>
        <w:t>三、工期要求</w:t>
      </w:r>
    </w:p>
    <w:p w14:paraId="16D8A0AE">
      <w:pPr>
        <w:spacing w:before="295" w:line="219" w:lineRule="auto"/>
        <w:ind w:left="480"/>
        <w:rPr>
          <w:rFonts w:ascii="宋体" w:hAnsi="宋体" w:eastAsia="宋体" w:cs="宋体"/>
          <w:sz w:val="24"/>
          <w:szCs w:val="24"/>
        </w:rPr>
      </w:pPr>
      <w:r>
        <w:rPr>
          <w:rFonts w:ascii="宋体" w:hAnsi="宋体" w:eastAsia="宋体" w:cs="宋体"/>
          <w:spacing w:val="-1"/>
          <w:sz w:val="24"/>
          <w:szCs w:val="24"/>
        </w:rPr>
        <w:t>计划开工、完工日期：</w:t>
      </w:r>
      <w:r>
        <w:rPr>
          <w:rFonts w:ascii="宋体" w:hAnsi="宋体" w:eastAsia="宋体" w:cs="宋体"/>
          <w:spacing w:val="-1"/>
          <w:sz w:val="24"/>
          <w:szCs w:val="24"/>
          <w:u w:val="single" w:color="auto"/>
        </w:rPr>
        <w:t>以甲方实际要求开工、完工日期为准</w:t>
      </w:r>
      <w:r>
        <w:rPr>
          <w:rFonts w:ascii="宋体" w:hAnsi="宋体" w:eastAsia="宋体" w:cs="宋体"/>
          <w:spacing w:val="-1"/>
          <w:sz w:val="24"/>
          <w:szCs w:val="24"/>
        </w:rPr>
        <w:t>。</w:t>
      </w:r>
    </w:p>
    <w:p w14:paraId="64F21CF0">
      <w:pPr>
        <w:spacing w:before="295" w:line="221" w:lineRule="auto"/>
        <w:ind w:left="503"/>
        <w:rPr>
          <w:rFonts w:ascii="宋体" w:hAnsi="宋体" w:eastAsia="宋体" w:cs="宋体"/>
          <w:sz w:val="24"/>
          <w:szCs w:val="24"/>
        </w:rPr>
      </w:pPr>
      <w:r>
        <w:rPr>
          <w:rFonts w:ascii="宋体" w:hAnsi="宋体" w:eastAsia="宋体" w:cs="宋体"/>
          <w:b/>
          <w:bCs/>
          <w:spacing w:val="-7"/>
          <w:sz w:val="24"/>
          <w:szCs w:val="24"/>
        </w:rPr>
        <w:t>四、施工要求：</w:t>
      </w:r>
    </w:p>
    <w:p w14:paraId="5BDFF4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1、施工过程要求</w:t>
      </w:r>
    </w:p>
    <w:p w14:paraId="7BDD6C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 施工过程严格执行施工验收规范标准及设计说明相关要求，施工质量、操作 规程及验收标准均以现行的国家地方颁发的标准规范执行，选用的材料应具有合格检 验证明或出厂合格证明，并应符合现行国家和地方的相关产品标准；</w:t>
      </w:r>
    </w:p>
    <w:p w14:paraId="2E0EACB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 各主要部分施工方法符合项目实际，须有详尽的施工技术方案及措施，工艺先进、方法科学合理、可行，能指导具体施工并确保安全；</w:t>
      </w:r>
    </w:p>
    <w:p w14:paraId="1DAB6E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1.3 施工项目有专门的安全管理人员和制度，且安全管理人员配备合理，制度健</w:t>
      </w:r>
    </w:p>
    <w:p w14:paraId="0C71447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全；各道工序安全技术措施针对性强，符合实际且满足有关安全技术标准要求；现</w:t>
      </w:r>
    </w:p>
    <w:p w14:paraId="424317B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场防火、安全防护措施得力；</w:t>
      </w:r>
    </w:p>
    <w:p w14:paraId="6D4594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施工符合设计图纸要求及以下施工规范：</w:t>
      </w:r>
    </w:p>
    <w:p w14:paraId="6C3209C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《中华人民共和国安全生产法》主席令第88号，2021年9月1日实施；</w:t>
      </w:r>
    </w:p>
    <w:p w14:paraId="2A7756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2）《中华人民共和国特种设备安全法》主席令第4号，2019年11月1日起施行；</w:t>
      </w:r>
    </w:p>
    <w:p w14:paraId="03F6DC0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3）《中华人民共和国消防法》主席令第29号，2019年4月23日起施行；</w:t>
      </w:r>
    </w:p>
    <w:p w14:paraId="1B8AB18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4）《中华人民共和国职业病防治法》主席令第52号，2018年12月29日起施行；</w:t>
      </w:r>
    </w:p>
    <w:p w14:paraId="2B50544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5）《中华人民共和国环境保护法》中华人民共和国主席令第9号，2015年1月1日起施行；</w:t>
      </w:r>
    </w:p>
    <w:p w14:paraId="6A17F77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6）《中华人民共和国清洁生产促进法》主席令第54号，2016年7月1日起施行；</w:t>
      </w:r>
    </w:p>
    <w:p w14:paraId="1454C3C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7）《中华人民共和国水土保持法》主席令第39号，2011年3月1日起施行；</w:t>
      </w:r>
    </w:p>
    <w:p w14:paraId="0C3028F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8）《中华人民共和国固体废物污染环境防治法》2016年11月7日修正；</w:t>
      </w:r>
    </w:p>
    <w:p w14:paraId="3D2215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9）《中华人民共和国水污染防治法》主席令第87号，2018年1月1日起施行；</w:t>
      </w:r>
    </w:p>
    <w:p w14:paraId="42AEC33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10）《中华人民共和国大气污染防治法》主席令第31号，2016年1月1日起施行；</w:t>
      </w:r>
    </w:p>
    <w:p w14:paraId="15CAB5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11）《中华人民共和国环境噪声污染防治法》主席令第24号，2021年12月24日起施行；</w:t>
      </w:r>
    </w:p>
    <w:p w14:paraId="40F325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12）《中华人民共和国森林法》主席令第18号，（2019年12年28修订）；</w:t>
      </w:r>
    </w:p>
    <w:p w14:paraId="0EE6E9E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13）《中华人民共和国突发事件应对法》主席令第69号，2007年11月1日；</w:t>
      </w:r>
    </w:p>
    <w:p w14:paraId="7639629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14）《建设项目环境保护管理条例》国务院令第682号，2017年10月1日起施行；</w:t>
      </w:r>
    </w:p>
    <w:p w14:paraId="609388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15）《中华人民共和国石油天然气管道保护法》主席令第30号，2010年10月1日起施行；</w:t>
      </w:r>
    </w:p>
    <w:p w14:paraId="4AB650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16）《公路安全保护条例》国务院令第593条，2011年7月1日起施行；</w:t>
      </w:r>
    </w:p>
    <w:p w14:paraId="4ED8275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17）《关于进一步加强危险化学品建设项目安全设计管理的通知》（安监总管三〔2013〕76号）；</w:t>
      </w:r>
    </w:p>
    <w:p w14:paraId="45B98D0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18）《危险化学品建设项目安全监督管理办法》国家安全生产监督管理总局令第45号，2015年5月27日第79号修正起施行；</w:t>
      </w:r>
    </w:p>
    <w:p w14:paraId="21CC0D0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19）《危险化学品生产企业安全生产许可证实施办法》国家安全生产监督管理总局第41号令，2011年12月1日起施行；</w:t>
      </w:r>
    </w:p>
    <w:p w14:paraId="1662C3B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20）《</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"http://www.so.com/s?q=%E5%9B%BD%E5%AE%B6%E5%AE%89%E5%85%A8&amp;ie=utf-8&amp;src=internal_wenda_recommend_textn"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国家安全</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监管总局关于公布首批重点监管的危险</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"http://www.so.com/s?q=%E5%8C%96%E5%B7%A5%E5%B7%A5%E8%89%BA&amp;ie=utf-8&amp;src=internal_wenda_recommend_textn"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化工工艺</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"http://www.so.com/s?q=%E7%9B%AE%E5%BD%95&amp;ie=utf-8&amp;src=internal_wenda_recommend_textn"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目录</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的</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"http://www.so.com/s?q=%E9%80%9A%E7%9F%A5&amp;ie=utf-8&amp;src=internal_wenda_recommend_textn"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通知</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》(安监总管三〔2009〕116号）；</w:t>
      </w:r>
    </w:p>
    <w:p w14:paraId="3543D75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21）《环境保护部建设项目“三同时”监督检查和竣工环保验收管理规程(试行)》环境保护部，2009年12月17日；</w:t>
      </w:r>
    </w:p>
    <w:p w14:paraId="6CE0796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22）《铁路安全管理条例》国务院令第639号，2014年1月1日；</w:t>
      </w:r>
    </w:p>
    <w:p w14:paraId="5D3DC9E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23）《关于处理石油管道和天然气管道与公路相互关系的若干规定（试行）》（78）油化管道字452号文，1978年5月22日；</w:t>
      </w:r>
    </w:p>
    <w:p w14:paraId="3ADAB22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24）《油气输送管道与铁路交汇工程技术及管理规定》国能油气﹝2015﹞392号，2018年9月7日。</w:t>
      </w:r>
    </w:p>
    <w:p w14:paraId="7CC9C5D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 、场站及线路施工单位严禁超挖超占、私自改线等，因乙方超挖超占、私自改 线造成行政处罚及经济处罚等后果由乙方自行承担。</w:t>
      </w:r>
    </w:p>
    <w:p w14:paraId="54FEA6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4、乙方在施工过程中，如质量、安全、进度不能满足项目部及业主的要求，甲 方有权要求乙方撤场并解除合同。</w:t>
      </w:r>
    </w:p>
    <w:p w14:paraId="14E3448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5、乙方要派现场负责人、技术员、有资质的安全员履行项目管理职能。以上主 要管理人员不到位，每次每人处罚 10000 元。</w:t>
      </w:r>
    </w:p>
    <w:p w14:paraId="17C8738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6、乙方现场特种作业人员必须具有职业资格证、操作证（IC 卡）。</w:t>
      </w:r>
    </w:p>
    <w:p w14:paraId="124E872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7、分包方自行解决村民干预施工内容等不可预见事件，因以上事件造成的停窝 工损失由乙方承担。</w:t>
      </w:r>
    </w:p>
    <w:p w14:paraId="38E4C6C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8、根据国家安全生产法及公司规定，需要给项目办理安全生产责任险、建筑安 装一切险等保险，保险费由甲方统一缴纳办理，保险费根据乙方合同金额计算并从第 一次进度款中扣除。</w:t>
      </w:r>
    </w:p>
    <w:p w14:paraId="63C004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9、乙方必须按照甲方要求为现场作业的职工办理意外伤害保险，为施工场地内 自有生命财产和施工机械设备办理保险，并自行承担保险费用。开工前如乙方不能按 时办理，甲方统一办理职工意外伤害保险，费用从乙方第一次进度款中扣除。</w:t>
      </w:r>
    </w:p>
    <w:p w14:paraId="4188F694">
      <w:pPr>
        <w:spacing w:before="248" w:line="218" w:lineRule="auto"/>
        <w:ind w:left="483"/>
        <w:rPr>
          <w:rFonts w:ascii="宋体" w:hAnsi="宋体" w:eastAsia="宋体" w:cs="宋体"/>
          <w:sz w:val="24"/>
          <w:szCs w:val="24"/>
        </w:rPr>
      </w:pPr>
      <w:r>
        <w:rPr>
          <w:rFonts w:ascii="宋体" w:hAnsi="宋体" w:eastAsia="宋体" w:cs="宋体"/>
          <w:b/>
          <w:bCs/>
          <w:spacing w:val="-4"/>
          <w:sz w:val="24"/>
          <w:szCs w:val="24"/>
        </w:rPr>
        <w:t>五、报价人资格条件</w:t>
      </w:r>
    </w:p>
    <w:p w14:paraId="17B639E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1、具有独立法人资格,且具备有效合格的统一社会信用代码的营业执照。</w:t>
      </w:r>
    </w:p>
    <w:p w14:paraId="524A43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2、提供有效的基本账户开户许可证，或基本账户信息证明材料。</w:t>
      </w:r>
    </w:p>
    <w:p w14:paraId="0A8B116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3、具有机电工程三级及以上或石油化工总承包三级及以上或劳务资质（三项资 质具备一个即可），及有效的《企业安全生产许可证》。</w:t>
      </w:r>
    </w:p>
    <w:p w14:paraId="658293A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4、不得列入国家企业信用信息公示系统（</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"http://www.gsxt.gov.cn/index.html" </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http://www.gsxt.gov.cn/index.html</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 严重违法失信企业名单（黑名单）、不得列入信用中国</w:t>
      </w:r>
    </w:p>
    <w:p w14:paraId="1C611E1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"http://www.creditchina.gov.cn/" </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http://www.creditchina.gov.cn/</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）失信惩戒名单、不得列入中国执行信息公开网 （</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"http://zxgk.court.gov.cn/shixin/" </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http://zxgk.court.gov.cn/shixin/</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）失信被执行人名单（被执行人包括投标人、</w:t>
      </w:r>
    </w:p>
    <w:p w14:paraId="469107A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sectPr>
          <w:footerReference r:id="rId6" w:type="default"/>
          <w:pgSz w:w="11906" w:h="16839"/>
          <w:pgMar w:top="1431" w:right="1374" w:bottom="1153" w:left="1595" w:header="0" w:footer="994" w:gutter="0"/>
          <w:cols w:space="720" w:num="1"/>
        </w:sectPr>
      </w:pPr>
    </w:p>
    <w:p w14:paraId="3806512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法定代表人）。（提供以上三个网站四项内容查询结果截图）；未列入《延长石油集 团失信交易商名单》。</w:t>
      </w:r>
    </w:p>
    <w:p w14:paraId="1DCDD8C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5.业绩要求：提供近三年类似工程业绩不少于3 个。</w:t>
      </w:r>
    </w:p>
    <w:p w14:paraId="2353094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6.其他要求：施工现场专职安全生产管理人员具有安全生产考核合格证或安全员 证书；近三年无重大质量、安全事故；</w:t>
      </w:r>
    </w:p>
    <w:p w14:paraId="189BC721">
      <w:pPr>
        <w:spacing w:before="35" w:line="218" w:lineRule="auto"/>
        <w:ind w:left="483"/>
        <w:rPr>
          <w:rFonts w:ascii="宋体" w:hAnsi="宋体" w:eastAsia="宋体" w:cs="宋体"/>
          <w:sz w:val="24"/>
          <w:szCs w:val="24"/>
        </w:rPr>
      </w:pPr>
      <w:r>
        <w:rPr>
          <w:rFonts w:ascii="宋体" w:hAnsi="宋体" w:eastAsia="宋体" w:cs="宋体"/>
          <w:b/>
          <w:bCs/>
          <w:spacing w:val="-4"/>
          <w:sz w:val="24"/>
          <w:szCs w:val="24"/>
        </w:rPr>
        <w:t>六、报价编制要求</w:t>
      </w:r>
    </w:p>
    <w:p w14:paraId="253E1B6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1、编制依据：</w:t>
      </w:r>
    </w:p>
    <w:p w14:paraId="23784E4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 组价应依据自身施工实力和市场情况确定的工程报价价格。但各报价人的计 价均须有依据，对于粗制滥造、高估冒算、扰乱投标秩序的报价，招标人有权取消其 报价资格。</w:t>
      </w:r>
    </w:p>
    <w:p w14:paraId="68A0B91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 设计文件（图纸及其说明）。</w:t>
      </w:r>
    </w:p>
    <w:p w14:paraId="6D75E89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1.3 正常的施工组织及施工方法、施工规范和验收规范。</w:t>
      </w:r>
    </w:p>
    <w:p w14:paraId="6B70DC0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1.4 凡涉及报价的，报价人均应在报价中计列；如报价书中未列出，则认为已经</w:t>
      </w:r>
    </w:p>
    <w:p w14:paraId="4767554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综合考虑在其它项目中，不再调整。</w:t>
      </w:r>
    </w:p>
    <w:p w14:paraId="5413CC5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2、其他事项</w:t>
      </w:r>
    </w:p>
    <w:p w14:paraId="7ADB3B1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2.1 报价人应充分考虑本工程的实际，依据设计施工图、答疑纪要、澄清和修改 通知，根据企业自身情况、施工经验、现场环境以及谈价文件的要求，进行自主报价。</w:t>
      </w:r>
    </w:p>
    <w:p w14:paraId="34F74B9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2.2 报价人的投标报价，应是完成本工程范围及工期、质量的全部要求的工程内 容。</w:t>
      </w:r>
    </w:p>
    <w:p w14:paraId="7F006E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2.3 投标报价均包括但不限于人工费、材料费、机械费、管理费、利润、保险费、 规费、税金、安全和文明施工措施、技术措施费、风险费、政策文件规定的各项费用 和支出，以及报价人在报价前明示或暗示的所有风险、责任和义务。报价人在投标报</w:t>
      </w:r>
    </w:p>
    <w:p w14:paraId="255620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价时应考虑以下因素：人工费、材料费、机械费社会价格浮动因素，工程所在地的交 通运输条件、施工环境和地方不良势力的影响，停水、停电及外部因素或征迁协调， 设变更等造成停窝工的损失。</w:t>
      </w:r>
    </w:p>
    <w:p w14:paraId="4FC5555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2.4 凡因投标人对图纸、设计文件阅读疏忽或误解，或因对施工现场、施工环境、 市场行情等了解不清而造成的后果和风险，均由报价人承担。</w:t>
      </w:r>
    </w:p>
    <w:p w14:paraId="3CD6DED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2.5 报价人报价前应到现场踏勘以充分了现场实际情况后再进行报价，任何因忽 视或误解工地情况而导致的索赔、价款调整或工期延长申请将不被批准。报价人踏勘 现场发现的与工程计价有关的任何因素均应考虑在投标报价中。</w:t>
      </w:r>
    </w:p>
    <w:p w14:paraId="42D4AC3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2.6 工程施工的协调外部环境等不可预见问题的处理，如施工场地所在地村组强 行要求分包工程、供应地材等，由报价人负责，要求报价人现场踏勘调研、评估，所 需相关费用一并进入报价。</w:t>
      </w:r>
    </w:p>
    <w:p w14:paraId="3661FF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2.7 在合同履行期间，不论发生何种状况，报价人均不得以任何借口提出增减合 同价款的要求。</w:t>
      </w:r>
    </w:p>
    <w:p w14:paraId="0604DC9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2.8 报价人应综合考虑各种因素进行报价，凡在报价中未列明的，将视为优惠， 认为报价人自行放弃该部分费用，结算时不进行调整。</w:t>
      </w:r>
    </w:p>
    <w:p w14:paraId="3DF860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2.9 报价实行固定综合单价，报价单位充分考虑各种风险，单价一次包死，不予 调整。具体工程量按照最终确定单价及现场确认工程量据实结算。</w:t>
      </w:r>
    </w:p>
    <w:p w14:paraId="6922FCE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2.10 提供 3%增值税专用发票。</w:t>
      </w:r>
    </w:p>
    <w:p w14:paraId="36A594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2.11 报价人报价包含甲供材料保管费。甲供材料由乙方限额领料，对乙方超领部</w:t>
      </w:r>
    </w:p>
    <w:p w14:paraId="0894976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分，甲方将在乙方结算中扣除。</w:t>
      </w:r>
    </w:p>
    <w:p w14:paraId="64A617E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 xml:space="preserve">2.12 报价人须保证人员组织达到甲方及业主的施工进度要求并在报价中综合考 </w:t>
      </w:r>
    </w:p>
    <w:p w14:paraId="6BB1403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虑抢工及窝工等发生的费及风险费用。</w:t>
      </w:r>
    </w:p>
    <w:p w14:paraId="00C8C8B0">
      <w:pPr>
        <w:spacing w:before="78" w:line="220" w:lineRule="auto"/>
        <w:ind w:left="288"/>
        <w:rPr>
          <w:rFonts w:ascii="宋体" w:hAnsi="宋体" w:eastAsia="宋体" w:cs="宋体"/>
          <w:sz w:val="24"/>
          <w:szCs w:val="24"/>
        </w:rPr>
      </w:pPr>
      <w:r>
        <w:rPr>
          <w:rFonts w:ascii="宋体" w:hAnsi="宋体" w:eastAsia="宋体" w:cs="宋体"/>
          <w:b/>
          <w:bCs/>
          <w:spacing w:val="-3"/>
          <w:sz w:val="24"/>
          <w:szCs w:val="24"/>
        </w:rPr>
        <w:t>七、工程质量、安全、环境保护目标</w:t>
      </w:r>
    </w:p>
    <w:p w14:paraId="1D00BE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1、工程质量目标：合格</w:t>
      </w:r>
    </w:p>
    <w:p w14:paraId="4C8473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2、安全生产、环境保护目标：</w:t>
      </w:r>
    </w:p>
    <w:p w14:paraId="3DB03A0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2.1 不发生生产安全事故和火灾事故；</w:t>
      </w:r>
    </w:p>
    <w:p w14:paraId="4E238A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2.2 杜绝人身伤亡事故；</w:t>
      </w:r>
    </w:p>
    <w:p w14:paraId="108C2F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2.3 杜绝机械设备事故；</w:t>
      </w:r>
    </w:p>
    <w:p w14:paraId="392303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2.4 不发生交通责任事故；</w:t>
      </w:r>
    </w:p>
    <w:p w14:paraId="5213E1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2.5 不发生违法犯罪及违反治安管理条例的行为；</w:t>
      </w:r>
    </w:p>
    <w:p w14:paraId="5AEA5CE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2.6 不发生环境污染事故；</w:t>
      </w:r>
    </w:p>
    <w:p w14:paraId="7E1B4EC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2.7 不发生食物中毒事故；</w:t>
      </w:r>
    </w:p>
    <w:p w14:paraId="28A4A16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2.8 搞好现场管理，达到文明施工要求。</w:t>
      </w:r>
    </w:p>
    <w:p w14:paraId="465C8603">
      <w:pPr>
        <w:spacing w:before="296" w:line="218" w:lineRule="auto"/>
        <w:ind w:left="293"/>
        <w:rPr>
          <w:rFonts w:ascii="宋体" w:hAnsi="宋体" w:eastAsia="宋体" w:cs="宋体"/>
          <w:sz w:val="24"/>
          <w:szCs w:val="24"/>
        </w:rPr>
      </w:pPr>
      <w:r>
        <w:rPr>
          <w:rFonts w:ascii="宋体" w:hAnsi="宋体" w:eastAsia="宋体" w:cs="宋体"/>
          <w:b/>
          <w:bCs/>
          <w:spacing w:val="-3"/>
          <w:sz w:val="24"/>
          <w:szCs w:val="24"/>
        </w:rPr>
        <w:t>八、递交报价资料及时间</w:t>
      </w:r>
    </w:p>
    <w:p w14:paraId="4236A13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（一）谈判响应文件组成：</w:t>
      </w:r>
    </w:p>
    <w:p w14:paraId="6D54677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1、谈判响应函；</w:t>
      </w:r>
    </w:p>
    <w:p w14:paraId="5EB9F4E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2、法定代表人授权委托书；</w:t>
      </w:r>
    </w:p>
    <w:p w14:paraId="48FE7B7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3、报价单；</w:t>
      </w:r>
    </w:p>
    <w:p w14:paraId="0706F3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4、资质证明文件；</w:t>
      </w:r>
    </w:p>
    <w:p w14:paraId="488075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5、类似工程业绩证明资料；</w:t>
      </w:r>
    </w:p>
    <w:p w14:paraId="52FEC44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6、信用证明资料；</w:t>
      </w:r>
    </w:p>
    <w:p w14:paraId="2A5164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7、特种作业人员职业资格证、操作证（IC 卡）资料；</w:t>
      </w:r>
    </w:p>
    <w:p w14:paraId="73C008F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8、人员资历证明资料；</w:t>
      </w:r>
    </w:p>
    <w:p w14:paraId="7D1E65A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9、对响应文件及合同条款的承诺和补充；</w:t>
      </w:r>
    </w:p>
    <w:p w14:paraId="2ECEB7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10、竞争性谈判回执；</w:t>
      </w:r>
    </w:p>
    <w:p w14:paraId="172D1CE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（二）、报价文件份数及其他要求：</w:t>
      </w:r>
    </w:p>
    <w:p w14:paraId="0861D5F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1、一套正本、两套副本、报价清单电子版，报价文件每页均应均加盖报价单位 印章。由委托代理人签字或盖章的在报价文件中须同时提交报价文件签署授权委托 书。</w:t>
      </w:r>
    </w:p>
    <w:p w14:paraId="7838008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2、除报价单位对错误处需修改外，全套报价文件应无涂改或行间插字和增删。 如有修改，修改处应由报价单位加盖报价单位的印章或由报价文件签字人签（章）。</w:t>
      </w:r>
    </w:p>
    <w:p w14:paraId="5813730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3、密封要求：封套上应载明投标人名称、投标人地址、项目名称、投标文件在 2024 年 10 月23 日 15:30 前不得开启。</w:t>
      </w:r>
    </w:p>
    <w:p w14:paraId="7F543F9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4、报价文件递交资料时间：暂定于 2024 年 10 月 23 日 15:30 具体时间以甲方通知为准，地点为西安市高陵区中钢大道陕西燃气集团工程有限公司。逾期送达的或者 未送达指定地点的报价文件，招标人不予受理。</w:t>
      </w:r>
    </w:p>
    <w:p w14:paraId="1BA195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（三）联系方式</w:t>
      </w:r>
    </w:p>
    <w:p w14:paraId="430462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 xml:space="preserve">联系地址：西安市高陵区中钢大道陕西燃气集团工程有限公司 </w:t>
      </w:r>
    </w:p>
    <w:p w14:paraId="49D30D4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项目经理： 付绍平  联系电话：18695219901</w:t>
      </w:r>
    </w:p>
    <w:p w14:paraId="3EF8A450">
      <w:pPr>
        <w:spacing w:before="210" w:line="220" w:lineRule="auto"/>
        <w:ind w:left="524"/>
        <w:rPr>
          <w:rFonts w:ascii="宋体" w:hAnsi="宋体" w:eastAsia="宋体" w:cs="宋体"/>
          <w:sz w:val="24"/>
          <w:szCs w:val="24"/>
        </w:rPr>
      </w:pPr>
      <w:r>
        <w:rPr>
          <w:rFonts w:ascii="宋体" w:hAnsi="宋体" w:eastAsia="宋体" w:cs="宋体"/>
          <w:b/>
          <w:bCs/>
          <w:spacing w:val="-2"/>
          <w:sz w:val="20"/>
          <w:szCs w:val="20"/>
        </w:rPr>
        <w:t>九</w:t>
      </w:r>
      <w:r>
        <w:rPr>
          <w:rFonts w:ascii="宋体" w:hAnsi="宋体" w:eastAsia="宋体" w:cs="宋体"/>
          <w:b/>
          <w:bCs/>
          <w:spacing w:val="-2"/>
          <w:sz w:val="24"/>
          <w:szCs w:val="24"/>
        </w:rPr>
        <w:t>、评审方法</w:t>
      </w:r>
    </w:p>
    <w:p w14:paraId="78BBE044">
      <w:pPr>
        <w:spacing w:line="35" w:lineRule="exact"/>
      </w:pPr>
    </w:p>
    <w:tbl>
      <w:tblPr>
        <w:tblStyle w:val="9"/>
        <w:tblW w:w="9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6797"/>
      </w:tblGrid>
      <w:tr w14:paraId="7DEB7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2" w:hRule="atLeast"/>
        </w:trPr>
        <w:tc>
          <w:tcPr>
            <w:tcW w:w="2226" w:type="dxa"/>
            <w:vAlign w:val="top"/>
          </w:tcPr>
          <w:p w14:paraId="28C7AC08">
            <w:pPr>
              <w:pStyle w:val="10"/>
              <w:spacing w:before="146" w:line="228" w:lineRule="auto"/>
              <w:ind w:left="801"/>
            </w:pPr>
            <w:r>
              <w:rPr>
                <w:b/>
                <w:bCs/>
                <w:spacing w:val="6"/>
              </w:rPr>
              <w:t>评审因素</w:t>
            </w:r>
          </w:p>
        </w:tc>
        <w:tc>
          <w:tcPr>
            <w:tcW w:w="6797" w:type="dxa"/>
            <w:vAlign w:val="top"/>
          </w:tcPr>
          <w:p w14:paraId="5490B1F6">
            <w:pPr>
              <w:pStyle w:val="10"/>
              <w:spacing w:before="147" w:line="228" w:lineRule="auto"/>
              <w:ind w:left="2979"/>
            </w:pPr>
            <w:r>
              <w:rPr>
                <w:b/>
                <w:bCs/>
                <w:spacing w:val="6"/>
              </w:rPr>
              <w:t>评审标准</w:t>
            </w:r>
          </w:p>
        </w:tc>
      </w:tr>
      <w:tr w14:paraId="53925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023" w:type="dxa"/>
            <w:gridSpan w:val="2"/>
            <w:vAlign w:val="top"/>
          </w:tcPr>
          <w:p w14:paraId="76F7F2BE">
            <w:pPr>
              <w:pStyle w:val="10"/>
              <w:spacing w:before="143" w:line="228" w:lineRule="auto"/>
              <w:ind w:left="3883"/>
            </w:pPr>
            <w:r>
              <w:rPr>
                <w:b/>
                <w:bCs/>
                <w:spacing w:val="7"/>
              </w:rPr>
              <w:t>初步评审标准</w:t>
            </w:r>
          </w:p>
        </w:tc>
      </w:tr>
      <w:tr w14:paraId="4B53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2226" w:type="dxa"/>
            <w:vAlign w:val="top"/>
          </w:tcPr>
          <w:p w14:paraId="72073819">
            <w:pPr>
              <w:spacing w:line="343" w:lineRule="auto"/>
              <w:rPr>
                <w:rFonts w:ascii="Arial"/>
                <w:sz w:val="21"/>
              </w:rPr>
            </w:pPr>
          </w:p>
          <w:p w14:paraId="206C294A">
            <w:pPr>
              <w:pStyle w:val="10"/>
              <w:spacing w:before="65" w:line="228" w:lineRule="auto"/>
              <w:ind w:left="487"/>
            </w:pPr>
            <w:r>
              <w:rPr>
                <w:spacing w:val="8"/>
              </w:rPr>
              <w:t>初步评审标准</w:t>
            </w:r>
          </w:p>
          <w:p w14:paraId="4BE14363">
            <w:pPr>
              <w:spacing w:line="324" w:lineRule="auto"/>
              <w:rPr>
                <w:rFonts w:ascii="Arial"/>
                <w:sz w:val="21"/>
              </w:rPr>
            </w:pPr>
          </w:p>
          <w:p w14:paraId="4852B4C3">
            <w:pPr>
              <w:pStyle w:val="10"/>
              <w:spacing w:before="65" w:line="228" w:lineRule="auto"/>
              <w:ind w:left="157"/>
            </w:pPr>
            <w:r>
              <w:rPr>
                <w:spacing w:val="4"/>
              </w:rPr>
              <w:t>(此项不符合要求将取</w:t>
            </w:r>
          </w:p>
          <w:p w14:paraId="731AB1C0">
            <w:pPr>
              <w:pStyle w:val="10"/>
              <w:spacing w:before="113" w:line="228" w:lineRule="auto"/>
              <w:ind w:left="756"/>
            </w:pPr>
            <w:r>
              <w:rPr>
                <w:spacing w:val="5"/>
              </w:rPr>
              <w:t>消资格)</w:t>
            </w:r>
          </w:p>
        </w:tc>
        <w:tc>
          <w:tcPr>
            <w:tcW w:w="6797" w:type="dxa"/>
            <w:vAlign w:val="top"/>
          </w:tcPr>
          <w:p w14:paraId="7502D168">
            <w:pPr>
              <w:pStyle w:val="10"/>
              <w:spacing w:before="141" w:line="228" w:lineRule="auto"/>
              <w:ind w:left="137"/>
            </w:pPr>
            <w:r>
              <w:rPr>
                <w:spacing w:val="7"/>
              </w:rPr>
              <w:t>1.相关证件名称、地址等信息真实、一致。</w:t>
            </w:r>
          </w:p>
          <w:p w14:paraId="40C5BB3F">
            <w:pPr>
              <w:pStyle w:val="10"/>
              <w:spacing w:before="153" w:line="228" w:lineRule="auto"/>
              <w:ind w:left="124"/>
            </w:pPr>
            <w:r>
              <w:rPr>
                <w:spacing w:val="8"/>
              </w:rPr>
              <w:t>2.投标人在“</w:t>
            </w:r>
            <w:r>
              <w:rPr>
                <w:spacing w:val="-57"/>
              </w:rPr>
              <w:t xml:space="preserve"> </w:t>
            </w:r>
            <w:r>
              <w:rPr>
                <w:spacing w:val="8"/>
              </w:rPr>
              <w:t>国家企业信用信息公示系统</w:t>
            </w:r>
            <w:r>
              <w:rPr>
                <w:spacing w:val="-70"/>
              </w:rPr>
              <w:t xml:space="preserve"> </w:t>
            </w:r>
            <w:r>
              <w:rPr>
                <w:spacing w:val="8"/>
              </w:rPr>
              <w:t>”网站、“信用中国</w:t>
            </w:r>
            <w:r>
              <w:rPr>
                <w:spacing w:val="-70"/>
              </w:rPr>
              <w:t xml:space="preserve"> </w:t>
            </w:r>
            <w:r>
              <w:rPr>
                <w:spacing w:val="8"/>
              </w:rPr>
              <w:t>”网站未</w:t>
            </w:r>
          </w:p>
          <w:p w14:paraId="03D19A92">
            <w:pPr>
              <w:pStyle w:val="10"/>
              <w:spacing w:before="152" w:line="354" w:lineRule="auto"/>
              <w:ind w:left="125" w:right="2198" w:hanging="107"/>
            </w:pPr>
            <w:r>
              <w:rPr>
                <w:spacing w:val="8"/>
              </w:rPr>
              <w:t>被列为失信被执行人（提供查询结果网页截</w:t>
            </w:r>
            <w:r>
              <w:rPr>
                <w:spacing w:val="7"/>
              </w:rPr>
              <w:t>图）。</w:t>
            </w:r>
            <w:r>
              <w:t xml:space="preserve"> </w:t>
            </w:r>
            <w:r>
              <w:rPr>
                <w:spacing w:val="6"/>
              </w:rPr>
              <w:t>3.业绩真实有效。</w:t>
            </w:r>
          </w:p>
          <w:p w14:paraId="18764175">
            <w:pPr>
              <w:pStyle w:val="10"/>
              <w:spacing w:before="1" w:line="225" w:lineRule="auto"/>
              <w:ind w:left="111"/>
            </w:pPr>
            <w:r>
              <w:rPr>
                <w:spacing w:val="9"/>
              </w:rPr>
              <w:t>4.报价文件内容不全，字迹模糊，难以辨认，或未按照规定填写。</w:t>
            </w:r>
          </w:p>
        </w:tc>
      </w:tr>
    </w:tbl>
    <w:tbl>
      <w:tblPr>
        <w:tblStyle w:val="9"/>
        <w:tblpPr w:leftFromText="180" w:rightFromText="180" w:vertAnchor="text" w:horzAnchor="page" w:tblpX="1505" w:tblpY="24"/>
        <w:tblOverlap w:val="never"/>
        <w:tblW w:w="90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6797"/>
      </w:tblGrid>
      <w:tr w14:paraId="5B566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2226" w:type="dxa"/>
            <w:vAlign w:val="top"/>
          </w:tcPr>
          <w:p w14:paraId="2C27257B">
            <w:pPr>
              <w:pStyle w:val="10"/>
              <w:spacing w:before="159" w:line="300" w:lineRule="auto"/>
              <w:ind w:left="577" w:right="483" w:hanging="87"/>
            </w:pPr>
            <w:r>
              <w:rPr>
                <w:spacing w:val="7"/>
              </w:rPr>
              <w:t>详细评审标准</w:t>
            </w:r>
            <w:r>
              <w:rPr>
                <w:spacing w:val="4"/>
              </w:rPr>
              <w:t xml:space="preserve"> </w:t>
            </w:r>
            <w:r>
              <w:rPr>
                <w:spacing w:val="1"/>
              </w:rPr>
              <w:t>(总分100分)</w:t>
            </w:r>
          </w:p>
        </w:tc>
        <w:tc>
          <w:tcPr>
            <w:tcW w:w="6797" w:type="dxa"/>
            <w:vAlign w:val="top"/>
          </w:tcPr>
          <w:p w14:paraId="6E6D8DB9">
            <w:pPr>
              <w:spacing w:line="272" w:lineRule="auto"/>
              <w:rPr>
                <w:rFonts w:ascii="Arial"/>
                <w:sz w:val="21"/>
              </w:rPr>
            </w:pPr>
          </w:p>
          <w:p w14:paraId="5FF06AB1">
            <w:pPr>
              <w:pStyle w:val="10"/>
              <w:spacing w:before="65" w:line="226" w:lineRule="auto"/>
              <w:ind w:right="12"/>
              <w:jc w:val="right"/>
            </w:pPr>
            <w:r>
              <w:rPr>
                <w:spacing w:val="6"/>
              </w:rPr>
              <w:t>总评价分=技术分×30%+ 商务分×70% ，按四舍五入原则保留</w:t>
            </w:r>
            <w:r>
              <w:rPr>
                <w:spacing w:val="-24"/>
              </w:rPr>
              <w:t xml:space="preserve"> </w:t>
            </w:r>
            <w:r>
              <w:rPr>
                <w:spacing w:val="6"/>
              </w:rPr>
              <w:t>2</w:t>
            </w:r>
            <w:r>
              <w:rPr>
                <w:spacing w:val="-38"/>
              </w:rPr>
              <w:t xml:space="preserve"> </w:t>
            </w:r>
            <w:r>
              <w:rPr>
                <w:spacing w:val="6"/>
              </w:rPr>
              <w:t>位小数。</w:t>
            </w:r>
          </w:p>
        </w:tc>
      </w:tr>
    </w:tbl>
    <w:p w14:paraId="7B2C419D">
      <w:pPr>
        <w:pStyle w:val="6"/>
      </w:pPr>
    </w:p>
    <w:p w14:paraId="741F640A">
      <w:pPr>
        <w:spacing w:before="172" w:line="219" w:lineRule="auto"/>
        <w:ind w:left="3787"/>
        <w:rPr>
          <w:rFonts w:ascii="宋体" w:hAnsi="宋体" w:eastAsia="宋体" w:cs="宋体"/>
          <w:sz w:val="28"/>
          <w:szCs w:val="28"/>
        </w:rPr>
      </w:pPr>
      <w:r>
        <w:rPr>
          <w:rFonts w:ascii="宋体" w:hAnsi="宋体" w:eastAsia="宋体" w:cs="宋体"/>
          <w:b/>
          <w:bCs/>
          <w:spacing w:val="-4"/>
          <w:sz w:val="28"/>
          <w:szCs w:val="28"/>
        </w:rPr>
        <w:t>报价评分细则</w:t>
      </w:r>
    </w:p>
    <w:p w14:paraId="056DBF20">
      <w:pPr>
        <w:spacing w:line="120" w:lineRule="exact"/>
      </w:pPr>
    </w:p>
    <w:tbl>
      <w:tblPr>
        <w:tblStyle w:val="9"/>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483"/>
        <w:gridCol w:w="996"/>
        <w:gridCol w:w="709"/>
        <w:gridCol w:w="6522"/>
      </w:tblGrid>
      <w:tr w14:paraId="5CB5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textDirection w:val="tbRlV"/>
            <w:vAlign w:val="top"/>
          </w:tcPr>
          <w:p w14:paraId="08B7AE66">
            <w:pPr>
              <w:pStyle w:val="10"/>
              <w:spacing w:before="158" w:line="216" w:lineRule="auto"/>
              <w:ind w:left="56"/>
            </w:pPr>
            <w:r>
              <w:rPr>
                <w:b/>
                <w:bCs/>
                <w:spacing w:val="5"/>
              </w:rPr>
              <w:t>类</w:t>
            </w:r>
            <w:r>
              <w:rPr>
                <w:spacing w:val="5"/>
              </w:rPr>
              <w:t xml:space="preserve"> </w:t>
            </w:r>
            <w:r>
              <w:rPr>
                <w:b/>
                <w:bCs/>
                <w:spacing w:val="5"/>
              </w:rPr>
              <w:t>别</w:t>
            </w:r>
          </w:p>
        </w:tc>
        <w:tc>
          <w:tcPr>
            <w:tcW w:w="483" w:type="dxa"/>
            <w:textDirection w:val="tbRlV"/>
            <w:vAlign w:val="top"/>
          </w:tcPr>
          <w:p w14:paraId="4341508D">
            <w:pPr>
              <w:pStyle w:val="10"/>
              <w:spacing w:before="138" w:line="214" w:lineRule="auto"/>
              <w:ind w:left="56"/>
            </w:pPr>
            <w:r>
              <w:rPr>
                <w:b/>
                <w:bCs/>
                <w:spacing w:val="5"/>
              </w:rPr>
              <w:t>总</w:t>
            </w:r>
            <w:r>
              <w:rPr>
                <w:spacing w:val="5"/>
              </w:rPr>
              <w:t xml:space="preserve"> </w:t>
            </w:r>
            <w:r>
              <w:rPr>
                <w:b/>
                <w:bCs/>
                <w:spacing w:val="5"/>
              </w:rPr>
              <w:t>分</w:t>
            </w:r>
          </w:p>
        </w:tc>
        <w:tc>
          <w:tcPr>
            <w:tcW w:w="996" w:type="dxa"/>
            <w:vAlign w:val="top"/>
          </w:tcPr>
          <w:p w14:paraId="2AE71062">
            <w:pPr>
              <w:pStyle w:val="10"/>
              <w:spacing w:before="56" w:line="261" w:lineRule="auto"/>
              <w:ind w:left="317" w:right="287" w:hanging="26"/>
            </w:pPr>
            <w:r>
              <w:rPr>
                <w:b/>
                <w:bCs/>
                <w:spacing w:val="4"/>
              </w:rPr>
              <w:t>评审</w:t>
            </w:r>
            <w:r>
              <w:t xml:space="preserve"> </w:t>
            </w:r>
            <w:r>
              <w:rPr>
                <w:b/>
                <w:bCs/>
                <w:spacing w:val="-9"/>
              </w:rPr>
              <w:t>内容</w:t>
            </w:r>
          </w:p>
        </w:tc>
        <w:tc>
          <w:tcPr>
            <w:tcW w:w="709" w:type="dxa"/>
            <w:vAlign w:val="top"/>
          </w:tcPr>
          <w:p w14:paraId="26B081E2">
            <w:pPr>
              <w:pStyle w:val="10"/>
              <w:spacing w:before="212" w:line="228" w:lineRule="auto"/>
              <w:ind w:left="153"/>
            </w:pPr>
            <w:r>
              <w:rPr>
                <w:b/>
                <w:bCs/>
                <w:spacing w:val="1"/>
              </w:rPr>
              <w:t>总分</w:t>
            </w:r>
          </w:p>
        </w:tc>
        <w:tc>
          <w:tcPr>
            <w:tcW w:w="6522" w:type="dxa"/>
            <w:vAlign w:val="top"/>
          </w:tcPr>
          <w:p w14:paraId="2AB7E175">
            <w:pPr>
              <w:pStyle w:val="10"/>
              <w:spacing w:before="212" w:line="228" w:lineRule="auto"/>
              <w:ind w:left="2526"/>
            </w:pPr>
            <w:r>
              <w:rPr>
                <w:b/>
                <w:bCs/>
                <w:spacing w:val="-3"/>
              </w:rPr>
              <w:t>评</w:t>
            </w:r>
            <w:r>
              <w:rPr>
                <w:spacing w:val="12"/>
              </w:rPr>
              <w:t xml:space="preserve">  </w:t>
            </w:r>
            <w:r>
              <w:rPr>
                <w:b/>
                <w:bCs/>
                <w:spacing w:val="-3"/>
              </w:rPr>
              <w:t>分</w:t>
            </w:r>
            <w:r>
              <w:rPr>
                <w:spacing w:val="11"/>
              </w:rPr>
              <w:t xml:space="preserve">  </w:t>
            </w:r>
            <w:r>
              <w:rPr>
                <w:b/>
                <w:bCs/>
                <w:spacing w:val="-3"/>
              </w:rPr>
              <w:t>标</w:t>
            </w:r>
            <w:r>
              <w:rPr>
                <w:spacing w:val="10"/>
              </w:rPr>
              <w:t xml:space="preserve">  </w:t>
            </w:r>
            <w:r>
              <w:rPr>
                <w:b/>
                <w:bCs/>
                <w:spacing w:val="-3"/>
              </w:rPr>
              <w:t>准</w:t>
            </w:r>
          </w:p>
        </w:tc>
      </w:tr>
      <w:tr w14:paraId="6E0AD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530" w:type="dxa"/>
            <w:textDirection w:val="tbRlV"/>
            <w:vAlign w:val="top"/>
          </w:tcPr>
          <w:p w14:paraId="53DCA92B">
            <w:pPr>
              <w:pStyle w:val="10"/>
              <w:spacing w:before="159" w:line="214" w:lineRule="auto"/>
              <w:ind w:left="504"/>
            </w:pPr>
            <w:r>
              <w:rPr>
                <w:spacing w:val="8"/>
              </w:rPr>
              <w:t>商</w:t>
            </w:r>
            <w:r>
              <w:rPr>
                <w:spacing w:val="94"/>
              </w:rPr>
              <w:t xml:space="preserve"> </w:t>
            </w:r>
            <w:r>
              <w:rPr>
                <w:spacing w:val="8"/>
              </w:rPr>
              <w:t>务</w:t>
            </w:r>
            <w:r>
              <w:rPr>
                <w:spacing w:val="89"/>
              </w:rPr>
              <w:t xml:space="preserve"> </w:t>
            </w:r>
            <w:r>
              <w:rPr>
                <w:spacing w:val="8"/>
              </w:rPr>
              <w:t>部</w:t>
            </w:r>
            <w:r>
              <w:rPr>
                <w:spacing w:val="92"/>
              </w:rPr>
              <w:t xml:space="preserve"> </w:t>
            </w:r>
            <w:r>
              <w:rPr>
                <w:spacing w:val="8"/>
              </w:rPr>
              <w:t>分</w:t>
            </w:r>
          </w:p>
        </w:tc>
        <w:tc>
          <w:tcPr>
            <w:tcW w:w="483" w:type="dxa"/>
            <w:vAlign w:val="top"/>
          </w:tcPr>
          <w:p w14:paraId="4A67AA81">
            <w:pPr>
              <w:spacing w:line="288" w:lineRule="auto"/>
              <w:rPr>
                <w:rFonts w:ascii="Arial"/>
                <w:sz w:val="21"/>
              </w:rPr>
            </w:pPr>
          </w:p>
          <w:p w14:paraId="0D8DC10E">
            <w:pPr>
              <w:spacing w:line="289" w:lineRule="auto"/>
              <w:rPr>
                <w:rFonts w:ascii="Arial"/>
                <w:sz w:val="21"/>
              </w:rPr>
            </w:pPr>
          </w:p>
          <w:p w14:paraId="16612031">
            <w:pPr>
              <w:spacing w:line="289" w:lineRule="auto"/>
              <w:rPr>
                <w:rFonts w:ascii="Arial"/>
                <w:sz w:val="21"/>
              </w:rPr>
            </w:pPr>
          </w:p>
          <w:p w14:paraId="4F6F25FC">
            <w:pPr>
              <w:pStyle w:val="10"/>
              <w:spacing w:before="65" w:line="390" w:lineRule="auto"/>
              <w:ind w:left="141" w:right="81" w:hanging="37"/>
            </w:pPr>
            <w:r>
              <w:rPr>
                <w:spacing w:val="-3"/>
              </w:rPr>
              <w:t>100</w:t>
            </w:r>
            <w:r>
              <w:t xml:space="preserve"> 分</w:t>
            </w:r>
          </w:p>
        </w:tc>
        <w:tc>
          <w:tcPr>
            <w:tcW w:w="996" w:type="dxa"/>
            <w:vAlign w:val="top"/>
          </w:tcPr>
          <w:p w14:paraId="51A10BB4">
            <w:pPr>
              <w:spacing w:line="253" w:lineRule="auto"/>
              <w:rPr>
                <w:rFonts w:ascii="Arial"/>
                <w:sz w:val="21"/>
              </w:rPr>
            </w:pPr>
          </w:p>
          <w:p w14:paraId="1C7C1C1F">
            <w:pPr>
              <w:spacing w:line="253" w:lineRule="auto"/>
              <w:rPr>
                <w:rFonts w:ascii="Arial"/>
                <w:sz w:val="21"/>
              </w:rPr>
            </w:pPr>
          </w:p>
          <w:p w14:paraId="302B7455">
            <w:pPr>
              <w:spacing w:line="254" w:lineRule="auto"/>
              <w:rPr>
                <w:rFonts w:ascii="Arial"/>
                <w:sz w:val="21"/>
              </w:rPr>
            </w:pPr>
          </w:p>
          <w:p w14:paraId="434EA8B0">
            <w:pPr>
              <w:spacing w:line="254" w:lineRule="auto"/>
              <w:rPr>
                <w:rFonts w:ascii="Arial"/>
                <w:sz w:val="21"/>
              </w:rPr>
            </w:pPr>
          </w:p>
          <w:p w14:paraId="537E9F64">
            <w:pPr>
              <w:pStyle w:val="10"/>
              <w:spacing w:before="65" w:line="226" w:lineRule="auto"/>
              <w:ind w:left="83"/>
            </w:pPr>
            <w:r>
              <w:rPr>
                <w:spacing w:val="6"/>
              </w:rPr>
              <w:t>工程报价</w:t>
            </w:r>
          </w:p>
        </w:tc>
        <w:tc>
          <w:tcPr>
            <w:tcW w:w="709" w:type="dxa"/>
            <w:vAlign w:val="top"/>
          </w:tcPr>
          <w:p w14:paraId="1959790A">
            <w:pPr>
              <w:spacing w:line="282" w:lineRule="auto"/>
              <w:rPr>
                <w:rFonts w:ascii="Arial"/>
                <w:sz w:val="21"/>
              </w:rPr>
            </w:pPr>
          </w:p>
          <w:p w14:paraId="221551D1">
            <w:pPr>
              <w:spacing w:line="282" w:lineRule="auto"/>
              <w:rPr>
                <w:rFonts w:ascii="Arial"/>
                <w:sz w:val="21"/>
              </w:rPr>
            </w:pPr>
          </w:p>
          <w:p w14:paraId="0B06DB2C">
            <w:pPr>
              <w:spacing w:line="283" w:lineRule="auto"/>
              <w:rPr>
                <w:rFonts w:ascii="Arial"/>
                <w:sz w:val="21"/>
              </w:rPr>
            </w:pPr>
          </w:p>
          <w:p w14:paraId="002FD96A">
            <w:pPr>
              <w:pStyle w:val="10"/>
              <w:spacing w:before="65" w:line="390" w:lineRule="auto"/>
              <w:ind w:left="255" w:right="195" w:hanging="39"/>
            </w:pPr>
            <w:r>
              <w:rPr>
                <w:spacing w:val="-3"/>
              </w:rPr>
              <w:t>100</w:t>
            </w:r>
            <w:r>
              <w:t xml:space="preserve"> 分</w:t>
            </w:r>
          </w:p>
        </w:tc>
        <w:tc>
          <w:tcPr>
            <w:tcW w:w="6522" w:type="dxa"/>
            <w:vAlign w:val="top"/>
          </w:tcPr>
          <w:p w14:paraId="26434030">
            <w:pPr>
              <w:pStyle w:val="10"/>
              <w:spacing w:before="286" w:line="226" w:lineRule="auto"/>
              <w:ind w:left="138"/>
            </w:pPr>
            <w:r>
              <w:rPr>
                <w:spacing w:val="8"/>
              </w:rPr>
              <w:t>1.经初审合格的投标响应文件，其报价为有效投标报价。</w:t>
            </w:r>
          </w:p>
          <w:p w14:paraId="1F0D5B22">
            <w:pPr>
              <w:pStyle w:val="10"/>
              <w:spacing w:before="152" w:line="355" w:lineRule="auto"/>
              <w:ind w:left="126" w:right="139" w:hanging="1"/>
            </w:pPr>
            <w:r>
              <w:rPr>
                <w:spacing w:val="8"/>
              </w:rPr>
              <w:t>2.满足实质性要求并且完全响应报价要求的最低二次报价为基准价。</w:t>
            </w:r>
            <w:r>
              <w:rPr>
                <w:spacing w:val="3"/>
              </w:rPr>
              <w:t xml:space="preserve"> </w:t>
            </w:r>
            <w:r>
              <w:rPr>
                <w:spacing w:val="6"/>
              </w:rPr>
              <w:t>3.报价得分：二次报价高于基准价：每高于基准价</w:t>
            </w:r>
            <w:r>
              <w:rPr>
                <w:spacing w:val="-15"/>
              </w:rPr>
              <w:t xml:space="preserve"> </w:t>
            </w:r>
            <w:r>
              <w:rPr>
                <w:spacing w:val="6"/>
              </w:rPr>
              <w:t>1%，扣</w:t>
            </w:r>
            <w:r>
              <w:rPr>
                <w:spacing w:val="-22"/>
              </w:rPr>
              <w:t xml:space="preserve"> </w:t>
            </w:r>
            <w:r>
              <w:rPr>
                <w:spacing w:val="6"/>
              </w:rPr>
              <w:t>1</w:t>
            </w:r>
            <w:r>
              <w:rPr>
                <w:spacing w:val="-35"/>
              </w:rPr>
              <w:t xml:space="preserve"> </w:t>
            </w:r>
            <w:r>
              <w:rPr>
                <w:spacing w:val="6"/>
              </w:rPr>
              <w:t>分；</w:t>
            </w:r>
          </w:p>
          <w:p w14:paraId="65545ADF">
            <w:pPr>
              <w:pStyle w:val="10"/>
              <w:spacing w:before="33" w:line="226" w:lineRule="auto"/>
              <w:ind w:left="122"/>
            </w:pPr>
            <w:r>
              <w:rPr>
                <w:spacing w:val="8"/>
              </w:rPr>
              <w:t>4.报价不完整的，不进入评标标准价的计算，本</w:t>
            </w:r>
            <w:r>
              <w:rPr>
                <w:spacing w:val="7"/>
              </w:rPr>
              <w:t>项得</w:t>
            </w:r>
            <w:r>
              <w:rPr>
                <w:spacing w:val="-35"/>
              </w:rPr>
              <w:t xml:space="preserve"> </w:t>
            </w:r>
            <w:r>
              <w:rPr>
                <w:spacing w:val="7"/>
              </w:rPr>
              <w:t>0</w:t>
            </w:r>
            <w:r>
              <w:rPr>
                <w:spacing w:val="-36"/>
              </w:rPr>
              <w:t xml:space="preserve"> </w:t>
            </w:r>
            <w:r>
              <w:rPr>
                <w:spacing w:val="7"/>
              </w:rPr>
              <w:t>分。</w:t>
            </w:r>
          </w:p>
          <w:p w14:paraId="055D3999">
            <w:pPr>
              <w:pStyle w:val="10"/>
              <w:spacing w:before="153" w:line="226" w:lineRule="auto"/>
              <w:ind w:left="127"/>
            </w:pPr>
            <w:r>
              <w:rPr>
                <w:spacing w:val="9"/>
              </w:rPr>
              <w:t>5.经评委一致认定，投标最终总报价低于成本价，其响</w:t>
            </w:r>
            <w:r>
              <w:rPr>
                <w:spacing w:val="8"/>
              </w:rPr>
              <w:t>应将被拒绝。</w:t>
            </w:r>
          </w:p>
        </w:tc>
      </w:tr>
    </w:tbl>
    <w:p w14:paraId="33C12B02">
      <w:pPr>
        <w:spacing w:before="172" w:line="220" w:lineRule="auto"/>
        <w:ind w:left="3651"/>
        <w:rPr>
          <w:rFonts w:ascii="宋体" w:hAnsi="宋体" w:eastAsia="宋体" w:cs="宋体"/>
          <w:b/>
          <w:bCs/>
          <w:spacing w:val="-4"/>
          <w:sz w:val="28"/>
          <w:szCs w:val="28"/>
        </w:rPr>
      </w:pPr>
    </w:p>
    <w:p w14:paraId="47237F14">
      <w:pPr>
        <w:spacing w:before="172" w:line="220" w:lineRule="auto"/>
        <w:ind w:left="3651"/>
        <w:rPr>
          <w:rFonts w:ascii="宋体" w:hAnsi="宋体" w:eastAsia="宋体" w:cs="宋体"/>
          <w:sz w:val="28"/>
          <w:szCs w:val="28"/>
        </w:rPr>
      </w:pPr>
      <w:r>
        <w:rPr>
          <w:rFonts w:ascii="宋体" w:hAnsi="宋体" w:eastAsia="宋体" w:cs="宋体"/>
          <w:b/>
          <w:bCs/>
          <w:spacing w:val="-4"/>
          <w:sz w:val="28"/>
          <w:szCs w:val="28"/>
        </w:rPr>
        <w:t>技术标评分细则</w:t>
      </w:r>
    </w:p>
    <w:p w14:paraId="0A9A20D4">
      <w:pPr>
        <w:spacing w:line="117" w:lineRule="exact"/>
      </w:pPr>
    </w:p>
    <w:tbl>
      <w:tblPr>
        <w:tblStyle w:val="9"/>
        <w:tblW w:w="9141"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578"/>
        <w:gridCol w:w="1080"/>
        <w:gridCol w:w="688"/>
        <w:gridCol w:w="6334"/>
      </w:tblGrid>
      <w:tr w14:paraId="3314C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61" w:type="dxa"/>
            <w:textDirection w:val="tbRlV"/>
            <w:vAlign w:val="top"/>
          </w:tcPr>
          <w:p w14:paraId="12E7768C">
            <w:pPr>
              <w:pStyle w:val="10"/>
              <w:spacing w:before="122" w:line="216" w:lineRule="auto"/>
              <w:ind w:left="56"/>
            </w:pPr>
            <w:r>
              <w:rPr>
                <w:b/>
                <w:bCs/>
                <w:spacing w:val="5"/>
              </w:rPr>
              <w:t>类</w:t>
            </w:r>
            <w:r>
              <w:rPr>
                <w:spacing w:val="5"/>
              </w:rPr>
              <w:t xml:space="preserve"> </w:t>
            </w:r>
            <w:r>
              <w:rPr>
                <w:b/>
                <w:bCs/>
                <w:spacing w:val="5"/>
              </w:rPr>
              <w:t>别</w:t>
            </w:r>
          </w:p>
        </w:tc>
        <w:tc>
          <w:tcPr>
            <w:tcW w:w="578" w:type="dxa"/>
            <w:textDirection w:val="tbRlV"/>
            <w:vAlign w:val="top"/>
          </w:tcPr>
          <w:p w14:paraId="21A55CB2">
            <w:pPr>
              <w:pStyle w:val="10"/>
              <w:spacing w:before="185" w:line="214" w:lineRule="auto"/>
              <w:ind w:left="56"/>
            </w:pPr>
            <w:r>
              <w:rPr>
                <w:b/>
                <w:bCs/>
                <w:spacing w:val="5"/>
              </w:rPr>
              <w:t>总</w:t>
            </w:r>
            <w:r>
              <w:rPr>
                <w:spacing w:val="5"/>
              </w:rPr>
              <w:t xml:space="preserve"> </w:t>
            </w:r>
            <w:r>
              <w:rPr>
                <w:b/>
                <w:bCs/>
                <w:spacing w:val="5"/>
              </w:rPr>
              <w:t>分</w:t>
            </w:r>
          </w:p>
        </w:tc>
        <w:tc>
          <w:tcPr>
            <w:tcW w:w="1080" w:type="dxa"/>
            <w:vAlign w:val="top"/>
          </w:tcPr>
          <w:p w14:paraId="303DBC36">
            <w:pPr>
              <w:pStyle w:val="10"/>
              <w:spacing w:before="57" w:line="261" w:lineRule="auto"/>
              <w:ind w:left="358" w:right="329" w:hanging="26"/>
            </w:pPr>
            <w:r>
              <w:rPr>
                <w:b/>
                <w:bCs/>
                <w:spacing w:val="4"/>
              </w:rPr>
              <w:t>评审</w:t>
            </w:r>
            <w:r>
              <w:t xml:space="preserve"> </w:t>
            </w:r>
            <w:r>
              <w:rPr>
                <w:b/>
                <w:bCs/>
                <w:spacing w:val="-9"/>
              </w:rPr>
              <w:t>内容</w:t>
            </w:r>
          </w:p>
        </w:tc>
        <w:tc>
          <w:tcPr>
            <w:tcW w:w="688" w:type="dxa"/>
            <w:vAlign w:val="top"/>
          </w:tcPr>
          <w:p w14:paraId="5DA336AF">
            <w:pPr>
              <w:pStyle w:val="10"/>
              <w:spacing w:before="57" w:line="261" w:lineRule="auto"/>
              <w:ind w:left="138" w:right="134" w:hanging="1"/>
            </w:pPr>
            <w:r>
              <w:rPr>
                <w:b/>
                <w:bCs/>
                <w:spacing w:val="3"/>
              </w:rPr>
              <w:t>标准</w:t>
            </w:r>
            <w:r>
              <w:t xml:space="preserve"> </w:t>
            </w:r>
            <w:r>
              <w:rPr>
                <w:b/>
                <w:bCs/>
                <w:spacing w:val="2"/>
              </w:rPr>
              <w:t>分值</w:t>
            </w:r>
          </w:p>
        </w:tc>
        <w:tc>
          <w:tcPr>
            <w:tcW w:w="6334" w:type="dxa"/>
            <w:vAlign w:val="top"/>
          </w:tcPr>
          <w:p w14:paraId="196ADF4B">
            <w:pPr>
              <w:pStyle w:val="10"/>
              <w:spacing w:before="212" w:line="228" w:lineRule="auto"/>
              <w:ind w:left="2431"/>
            </w:pPr>
            <w:r>
              <w:rPr>
                <w:b/>
                <w:bCs/>
                <w:spacing w:val="-3"/>
              </w:rPr>
              <w:t>评</w:t>
            </w:r>
            <w:r>
              <w:rPr>
                <w:spacing w:val="13"/>
              </w:rPr>
              <w:t xml:space="preserve">  </w:t>
            </w:r>
            <w:r>
              <w:rPr>
                <w:b/>
                <w:bCs/>
                <w:spacing w:val="-3"/>
              </w:rPr>
              <w:t>分</w:t>
            </w:r>
            <w:r>
              <w:rPr>
                <w:spacing w:val="11"/>
              </w:rPr>
              <w:t xml:space="preserve">  </w:t>
            </w:r>
            <w:r>
              <w:rPr>
                <w:b/>
                <w:bCs/>
                <w:spacing w:val="-3"/>
              </w:rPr>
              <w:t>标</w:t>
            </w:r>
            <w:r>
              <w:rPr>
                <w:spacing w:val="10"/>
              </w:rPr>
              <w:t xml:space="preserve">  </w:t>
            </w:r>
            <w:r>
              <w:rPr>
                <w:b/>
                <w:bCs/>
                <w:spacing w:val="-3"/>
              </w:rPr>
              <w:t>准</w:t>
            </w:r>
          </w:p>
        </w:tc>
      </w:tr>
      <w:tr w14:paraId="35A8F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61" w:type="dxa"/>
            <w:vMerge w:val="restart"/>
            <w:tcBorders>
              <w:bottom w:val="nil"/>
            </w:tcBorders>
            <w:textDirection w:val="tbRlV"/>
            <w:vAlign w:val="top"/>
          </w:tcPr>
          <w:p w14:paraId="5E4C39FC">
            <w:pPr>
              <w:pStyle w:val="10"/>
              <w:spacing w:before="123" w:line="215" w:lineRule="auto"/>
              <w:ind w:left="1998"/>
            </w:pPr>
            <w:r>
              <w:rPr>
                <w:spacing w:val="8"/>
              </w:rPr>
              <w:t>技</w:t>
            </w:r>
            <w:r>
              <w:rPr>
                <w:spacing w:val="91"/>
              </w:rPr>
              <w:t xml:space="preserve"> </w:t>
            </w:r>
            <w:r>
              <w:rPr>
                <w:spacing w:val="8"/>
              </w:rPr>
              <w:t>术</w:t>
            </w:r>
            <w:r>
              <w:rPr>
                <w:spacing w:val="92"/>
              </w:rPr>
              <w:t xml:space="preserve"> </w:t>
            </w:r>
            <w:r>
              <w:rPr>
                <w:spacing w:val="8"/>
              </w:rPr>
              <w:t>部</w:t>
            </w:r>
            <w:r>
              <w:rPr>
                <w:spacing w:val="92"/>
              </w:rPr>
              <w:t xml:space="preserve"> </w:t>
            </w:r>
            <w:r>
              <w:rPr>
                <w:spacing w:val="8"/>
              </w:rPr>
              <w:t>分</w:t>
            </w:r>
          </w:p>
        </w:tc>
        <w:tc>
          <w:tcPr>
            <w:tcW w:w="578" w:type="dxa"/>
            <w:vMerge w:val="restart"/>
            <w:tcBorders>
              <w:bottom w:val="nil"/>
            </w:tcBorders>
            <w:vAlign w:val="top"/>
          </w:tcPr>
          <w:p w14:paraId="26358353">
            <w:pPr>
              <w:spacing w:line="260" w:lineRule="auto"/>
              <w:rPr>
                <w:rFonts w:ascii="Arial"/>
                <w:sz w:val="21"/>
              </w:rPr>
            </w:pPr>
          </w:p>
          <w:p w14:paraId="66FF5FB4">
            <w:pPr>
              <w:spacing w:line="261" w:lineRule="auto"/>
              <w:rPr>
                <w:rFonts w:ascii="Arial"/>
                <w:sz w:val="21"/>
              </w:rPr>
            </w:pPr>
          </w:p>
          <w:p w14:paraId="15888CA9">
            <w:pPr>
              <w:spacing w:line="261" w:lineRule="auto"/>
              <w:rPr>
                <w:rFonts w:ascii="Arial"/>
                <w:sz w:val="21"/>
              </w:rPr>
            </w:pPr>
          </w:p>
          <w:p w14:paraId="4CF81FE1">
            <w:pPr>
              <w:spacing w:line="261" w:lineRule="auto"/>
              <w:rPr>
                <w:rFonts w:ascii="Arial"/>
                <w:sz w:val="21"/>
              </w:rPr>
            </w:pPr>
          </w:p>
          <w:p w14:paraId="2F8A06CD">
            <w:pPr>
              <w:spacing w:line="261" w:lineRule="auto"/>
              <w:rPr>
                <w:rFonts w:ascii="Arial"/>
                <w:sz w:val="21"/>
              </w:rPr>
            </w:pPr>
          </w:p>
          <w:p w14:paraId="707A5DD9">
            <w:pPr>
              <w:spacing w:line="261" w:lineRule="auto"/>
              <w:rPr>
                <w:rFonts w:ascii="Arial"/>
                <w:sz w:val="21"/>
              </w:rPr>
            </w:pPr>
          </w:p>
          <w:p w14:paraId="7194CB26">
            <w:pPr>
              <w:spacing w:line="261" w:lineRule="auto"/>
              <w:rPr>
                <w:rFonts w:ascii="Arial"/>
                <w:sz w:val="21"/>
              </w:rPr>
            </w:pPr>
          </w:p>
          <w:p w14:paraId="532DC3DD">
            <w:pPr>
              <w:spacing w:line="261" w:lineRule="auto"/>
              <w:rPr>
                <w:rFonts w:ascii="Arial"/>
                <w:sz w:val="21"/>
              </w:rPr>
            </w:pPr>
          </w:p>
          <w:p w14:paraId="67376886">
            <w:pPr>
              <w:spacing w:line="261" w:lineRule="auto"/>
              <w:rPr>
                <w:rFonts w:ascii="Arial"/>
                <w:sz w:val="21"/>
              </w:rPr>
            </w:pPr>
          </w:p>
          <w:p w14:paraId="2458F10B">
            <w:pPr>
              <w:pStyle w:val="10"/>
              <w:spacing w:before="65" w:line="393" w:lineRule="auto"/>
              <w:ind w:left="188" w:right="131" w:hanging="39"/>
            </w:pPr>
            <w:r>
              <w:rPr>
                <w:spacing w:val="-3"/>
              </w:rPr>
              <w:t>100</w:t>
            </w:r>
            <w:r>
              <w:t xml:space="preserve"> 分</w:t>
            </w:r>
          </w:p>
        </w:tc>
        <w:tc>
          <w:tcPr>
            <w:tcW w:w="1080" w:type="dxa"/>
            <w:vAlign w:val="top"/>
          </w:tcPr>
          <w:p w14:paraId="0B7A916E">
            <w:pPr>
              <w:spacing w:line="471" w:lineRule="auto"/>
              <w:rPr>
                <w:rFonts w:ascii="Arial"/>
                <w:sz w:val="21"/>
              </w:rPr>
            </w:pPr>
          </w:p>
          <w:p w14:paraId="5C215207">
            <w:pPr>
              <w:pStyle w:val="10"/>
              <w:spacing w:before="65" w:line="274" w:lineRule="auto"/>
              <w:ind w:left="334" w:right="120" w:hanging="210"/>
            </w:pPr>
            <w:r>
              <w:rPr>
                <w:spacing w:val="7"/>
              </w:rPr>
              <w:t>特种作业</w:t>
            </w:r>
            <w:r>
              <w:t xml:space="preserve"> </w:t>
            </w:r>
            <w:r>
              <w:rPr>
                <w:spacing w:val="3"/>
              </w:rPr>
              <w:t>人员</w:t>
            </w:r>
          </w:p>
        </w:tc>
        <w:tc>
          <w:tcPr>
            <w:tcW w:w="688" w:type="dxa"/>
            <w:vAlign w:val="top"/>
          </w:tcPr>
          <w:p w14:paraId="5B528FBC">
            <w:pPr>
              <w:spacing w:line="313" w:lineRule="auto"/>
              <w:rPr>
                <w:rFonts w:ascii="Arial"/>
                <w:sz w:val="21"/>
              </w:rPr>
            </w:pPr>
          </w:p>
          <w:p w14:paraId="193CC605">
            <w:pPr>
              <w:spacing w:line="313" w:lineRule="auto"/>
              <w:rPr>
                <w:rFonts w:ascii="Arial"/>
                <w:sz w:val="21"/>
              </w:rPr>
            </w:pPr>
          </w:p>
          <w:p w14:paraId="547DA177">
            <w:pPr>
              <w:pStyle w:val="10"/>
              <w:spacing w:before="65" w:line="228" w:lineRule="auto"/>
              <w:ind w:left="115"/>
            </w:pPr>
            <w:r>
              <w:rPr>
                <w:spacing w:val="-1"/>
              </w:rPr>
              <w:t>20</w:t>
            </w:r>
            <w:r>
              <w:rPr>
                <w:spacing w:val="-37"/>
              </w:rPr>
              <w:t xml:space="preserve"> </w:t>
            </w:r>
            <w:r>
              <w:rPr>
                <w:spacing w:val="-1"/>
              </w:rPr>
              <w:t>分</w:t>
            </w:r>
          </w:p>
        </w:tc>
        <w:tc>
          <w:tcPr>
            <w:tcW w:w="6334" w:type="dxa"/>
            <w:vAlign w:val="top"/>
          </w:tcPr>
          <w:p w14:paraId="2EF8D2CC">
            <w:pPr>
              <w:spacing w:line="474" w:lineRule="auto"/>
              <w:rPr>
                <w:rFonts w:ascii="Arial"/>
                <w:sz w:val="21"/>
              </w:rPr>
            </w:pPr>
          </w:p>
          <w:p w14:paraId="46679120">
            <w:pPr>
              <w:pStyle w:val="10"/>
              <w:spacing w:before="65" w:line="355" w:lineRule="auto"/>
              <w:ind w:left="112" w:right="110" w:firstLine="16"/>
            </w:pPr>
            <w:r>
              <w:rPr>
                <w:rFonts w:hint="eastAsia"/>
                <w:color w:val="auto"/>
                <w:spacing w:val="8"/>
                <w:highlight w:val="none"/>
              </w:rPr>
              <w:t>1.提供真实有效的特种作业人员职业资格证（焊工证，电工证）、操作证（IC 卡）资料及相关证明文件等。 (</w:t>
            </w:r>
            <w:bookmarkStart w:id="0" w:name="_GoBack"/>
            <w:bookmarkEnd w:id="0"/>
            <w:r>
              <w:rPr>
                <w:rFonts w:hint="eastAsia"/>
                <w:color w:val="auto"/>
                <w:spacing w:val="8"/>
                <w:highlight w:val="none"/>
              </w:rPr>
              <w:t>0-20 分，特种作业人员配备不少于5个，每少一人扣4分)</w:t>
            </w:r>
          </w:p>
        </w:tc>
      </w:tr>
      <w:tr w14:paraId="58EF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461" w:type="dxa"/>
            <w:vMerge w:val="continue"/>
            <w:tcBorders>
              <w:top w:val="nil"/>
              <w:bottom w:val="nil"/>
            </w:tcBorders>
            <w:textDirection w:val="tbRlV"/>
            <w:vAlign w:val="top"/>
          </w:tcPr>
          <w:p w14:paraId="3D033009">
            <w:pPr>
              <w:rPr>
                <w:rFonts w:ascii="Arial"/>
                <w:sz w:val="21"/>
              </w:rPr>
            </w:pPr>
          </w:p>
        </w:tc>
        <w:tc>
          <w:tcPr>
            <w:tcW w:w="578" w:type="dxa"/>
            <w:vMerge w:val="continue"/>
            <w:tcBorders>
              <w:top w:val="nil"/>
              <w:bottom w:val="nil"/>
            </w:tcBorders>
            <w:vAlign w:val="top"/>
          </w:tcPr>
          <w:p w14:paraId="0CA49EFF">
            <w:pPr>
              <w:rPr>
                <w:rFonts w:ascii="Arial"/>
                <w:sz w:val="21"/>
              </w:rPr>
            </w:pPr>
          </w:p>
        </w:tc>
        <w:tc>
          <w:tcPr>
            <w:tcW w:w="1080" w:type="dxa"/>
            <w:vAlign w:val="top"/>
          </w:tcPr>
          <w:p w14:paraId="7B618A73">
            <w:pPr>
              <w:pStyle w:val="10"/>
              <w:spacing w:before="164" w:line="273" w:lineRule="auto"/>
              <w:ind w:left="227" w:right="120" w:hanging="99"/>
            </w:pPr>
            <w:r>
              <w:rPr>
                <w:spacing w:val="6"/>
              </w:rPr>
              <w:t>企业业绩</w:t>
            </w:r>
            <w:r>
              <w:rPr>
                <w:spacing w:val="1"/>
              </w:rPr>
              <w:t xml:space="preserve"> </w:t>
            </w:r>
            <w:r>
              <w:rPr>
                <w:spacing w:val="7"/>
              </w:rPr>
              <w:t>及实力</w:t>
            </w:r>
          </w:p>
        </w:tc>
        <w:tc>
          <w:tcPr>
            <w:tcW w:w="688" w:type="dxa"/>
            <w:vAlign w:val="top"/>
          </w:tcPr>
          <w:p w14:paraId="7C4DC853">
            <w:pPr>
              <w:spacing w:line="253" w:lineRule="auto"/>
              <w:rPr>
                <w:rFonts w:ascii="Arial"/>
                <w:sz w:val="21"/>
              </w:rPr>
            </w:pPr>
          </w:p>
          <w:p w14:paraId="508BC59D">
            <w:pPr>
              <w:pStyle w:val="10"/>
              <w:spacing w:before="65" w:line="228" w:lineRule="auto"/>
              <w:ind w:left="116"/>
            </w:pPr>
            <w:r>
              <w:rPr>
                <w:spacing w:val="-1"/>
              </w:rPr>
              <w:t>30</w:t>
            </w:r>
            <w:r>
              <w:rPr>
                <w:spacing w:val="-38"/>
              </w:rPr>
              <w:t xml:space="preserve"> </w:t>
            </w:r>
            <w:r>
              <w:rPr>
                <w:spacing w:val="-1"/>
              </w:rPr>
              <w:t>分</w:t>
            </w:r>
          </w:p>
        </w:tc>
        <w:tc>
          <w:tcPr>
            <w:tcW w:w="6334" w:type="dxa"/>
            <w:vAlign w:val="top"/>
          </w:tcPr>
          <w:p w14:paraId="147E1BE0">
            <w:pPr>
              <w:pStyle w:val="10"/>
              <w:spacing w:before="164" w:line="311" w:lineRule="auto"/>
              <w:ind w:left="113" w:right="82"/>
            </w:pPr>
            <w:r>
              <w:rPr>
                <w:spacing w:val="7"/>
              </w:rPr>
              <w:t>供应单位提供其近三年的同类业绩合同，提供三份得</w:t>
            </w:r>
            <w:r>
              <w:rPr>
                <w:spacing w:val="6"/>
              </w:rPr>
              <w:t>基本分</w:t>
            </w:r>
            <w:r>
              <w:rPr>
                <w:spacing w:val="-36"/>
              </w:rPr>
              <w:t xml:space="preserve"> </w:t>
            </w:r>
            <w:r>
              <w:rPr>
                <w:spacing w:val="6"/>
              </w:rPr>
              <w:t>20</w:t>
            </w:r>
            <w:r>
              <w:rPr>
                <w:spacing w:val="-36"/>
              </w:rPr>
              <w:t xml:space="preserve"> </w:t>
            </w:r>
            <w:r>
              <w:rPr>
                <w:spacing w:val="6"/>
              </w:rPr>
              <w:t>分，</w:t>
            </w:r>
            <w:r>
              <w:t xml:space="preserve"> </w:t>
            </w:r>
            <w:r>
              <w:rPr>
                <w:spacing w:val="5"/>
              </w:rPr>
              <w:t>每增加一份同类业绩合同加</w:t>
            </w:r>
            <w:r>
              <w:rPr>
                <w:spacing w:val="-22"/>
              </w:rPr>
              <w:t xml:space="preserve"> </w:t>
            </w:r>
            <w:r>
              <w:rPr>
                <w:spacing w:val="5"/>
              </w:rPr>
              <w:t>5</w:t>
            </w:r>
            <w:r>
              <w:rPr>
                <w:spacing w:val="-35"/>
              </w:rPr>
              <w:t xml:space="preserve"> </w:t>
            </w:r>
            <w:r>
              <w:rPr>
                <w:spacing w:val="5"/>
              </w:rPr>
              <w:t>分，最高加</w:t>
            </w:r>
            <w:r>
              <w:rPr>
                <w:spacing w:val="-24"/>
              </w:rPr>
              <w:t xml:space="preserve"> </w:t>
            </w:r>
            <w:r>
              <w:rPr>
                <w:spacing w:val="5"/>
              </w:rPr>
              <w:t>10</w:t>
            </w:r>
            <w:r>
              <w:rPr>
                <w:spacing w:val="-35"/>
              </w:rPr>
              <w:t xml:space="preserve"> </w:t>
            </w:r>
            <w:r>
              <w:rPr>
                <w:spacing w:val="5"/>
              </w:rPr>
              <w:t>分；</w:t>
            </w:r>
          </w:p>
        </w:tc>
      </w:tr>
      <w:tr w14:paraId="14CE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461" w:type="dxa"/>
            <w:vMerge w:val="continue"/>
            <w:tcBorders>
              <w:top w:val="nil"/>
              <w:bottom w:val="nil"/>
            </w:tcBorders>
            <w:textDirection w:val="tbRlV"/>
            <w:vAlign w:val="top"/>
          </w:tcPr>
          <w:p w14:paraId="76B5F6A0">
            <w:pPr>
              <w:rPr>
                <w:rFonts w:ascii="Arial"/>
                <w:sz w:val="21"/>
              </w:rPr>
            </w:pPr>
          </w:p>
        </w:tc>
        <w:tc>
          <w:tcPr>
            <w:tcW w:w="578" w:type="dxa"/>
            <w:vMerge w:val="continue"/>
            <w:tcBorders>
              <w:top w:val="nil"/>
              <w:bottom w:val="nil"/>
            </w:tcBorders>
            <w:vAlign w:val="top"/>
          </w:tcPr>
          <w:p w14:paraId="0EA9EC1A">
            <w:pPr>
              <w:rPr>
                <w:rFonts w:ascii="Arial"/>
                <w:sz w:val="21"/>
              </w:rPr>
            </w:pPr>
          </w:p>
        </w:tc>
        <w:tc>
          <w:tcPr>
            <w:tcW w:w="1080" w:type="dxa"/>
            <w:vAlign w:val="top"/>
          </w:tcPr>
          <w:p w14:paraId="6E3E1CEF">
            <w:pPr>
              <w:spacing w:line="258" w:lineRule="auto"/>
              <w:rPr>
                <w:rFonts w:ascii="Arial"/>
                <w:sz w:val="21"/>
              </w:rPr>
            </w:pPr>
          </w:p>
          <w:p w14:paraId="3A086ADB">
            <w:pPr>
              <w:spacing w:line="258" w:lineRule="auto"/>
              <w:rPr>
                <w:rFonts w:ascii="Arial"/>
                <w:sz w:val="21"/>
              </w:rPr>
            </w:pPr>
          </w:p>
          <w:p w14:paraId="065E70B3">
            <w:pPr>
              <w:pStyle w:val="10"/>
              <w:spacing w:before="65" w:line="227" w:lineRule="auto"/>
              <w:ind w:left="124"/>
            </w:pPr>
            <w:r>
              <w:rPr>
                <w:spacing w:val="7"/>
              </w:rPr>
              <w:t>拟投入项</w:t>
            </w:r>
          </w:p>
          <w:p w14:paraId="5E96FBAD">
            <w:pPr>
              <w:pStyle w:val="10"/>
              <w:spacing w:before="65" w:line="231" w:lineRule="auto"/>
              <w:ind w:left="164"/>
            </w:pPr>
            <w:r>
              <w:rPr>
                <w:spacing w:val="-3"/>
              </w:rPr>
              <w:t>目的主要</w:t>
            </w:r>
          </w:p>
          <w:p w14:paraId="3D0E0ADF">
            <w:pPr>
              <w:pStyle w:val="10"/>
              <w:spacing w:before="62" w:line="229" w:lineRule="auto"/>
              <w:ind w:left="335"/>
            </w:pPr>
            <w:r>
              <w:rPr>
                <w:spacing w:val="3"/>
              </w:rPr>
              <w:t>人员</w:t>
            </w:r>
          </w:p>
        </w:tc>
        <w:tc>
          <w:tcPr>
            <w:tcW w:w="688" w:type="dxa"/>
            <w:vAlign w:val="top"/>
          </w:tcPr>
          <w:p w14:paraId="135CCA82">
            <w:pPr>
              <w:spacing w:line="275" w:lineRule="auto"/>
              <w:rPr>
                <w:rFonts w:ascii="Arial"/>
                <w:sz w:val="21"/>
              </w:rPr>
            </w:pPr>
          </w:p>
          <w:p w14:paraId="01C6C0BA">
            <w:pPr>
              <w:spacing w:line="276" w:lineRule="auto"/>
              <w:rPr>
                <w:rFonts w:ascii="Arial"/>
                <w:sz w:val="21"/>
              </w:rPr>
            </w:pPr>
          </w:p>
          <w:p w14:paraId="36965F7F">
            <w:pPr>
              <w:spacing w:line="276" w:lineRule="auto"/>
              <w:rPr>
                <w:rFonts w:ascii="Arial"/>
                <w:sz w:val="21"/>
              </w:rPr>
            </w:pPr>
          </w:p>
          <w:p w14:paraId="3E172E14">
            <w:pPr>
              <w:pStyle w:val="10"/>
              <w:spacing w:before="65" w:line="228" w:lineRule="auto"/>
              <w:ind w:left="116"/>
            </w:pPr>
            <w:r>
              <w:rPr>
                <w:spacing w:val="-1"/>
              </w:rPr>
              <w:t>30</w:t>
            </w:r>
            <w:r>
              <w:rPr>
                <w:spacing w:val="-38"/>
              </w:rPr>
              <w:t xml:space="preserve"> </w:t>
            </w:r>
            <w:r>
              <w:rPr>
                <w:spacing w:val="-1"/>
              </w:rPr>
              <w:t>分</w:t>
            </w:r>
          </w:p>
        </w:tc>
        <w:tc>
          <w:tcPr>
            <w:tcW w:w="6334" w:type="dxa"/>
            <w:vAlign w:val="top"/>
          </w:tcPr>
          <w:p w14:paraId="08C22622">
            <w:pPr>
              <w:pStyle w:val="10"/>
              <w:spacing w:before="145" w:line="341" w:lineRule="auto"/>
              <w:ind w:left="112" w:right="108" w:firstLine="2"/>
              <w:jc w:val="both"/>
            </w:pPr>
            <w:r>
              <w:rPr>
                <w:spacing w:val="10"/>
              </w:rPr>
              <w:t>主要关键人员资历及类似项目工程经验，提供相关证明文件，横向</w:t>
            </w:r>
            <w:r>
              <w:rPr>
                <w:spacing w:val="14"/>
              </w:rPr>
              <w:t xml:space="preserve"> </w:t>
            </w:r>
            <w:r>
              <w:rPr>
                <w:spacing w:val="3"/>
              </w:rPr>
              <w:t>对比各投标人，优得</w:t>
            </w:r>
            <w:r>
              <w:rPr>
                <w:spacing w:val="-21"/>
              </w:rPr>
              <w:t xml:space="preserve"> </w:t>
            </w:r>
            <w:r>
              <w:rPr>
                <w:spacing w:val="3"/>
              </w:rPr>
              <w:t>10-15</w:t>
            </w:r>
            <w:r>
              <w:rPr>
                <w:spacing w:val="-38"/>
              </w:rPr>
              <w:t xml:space="preserve"> </w:t>
            </w:r>
            <w:r>
              <w:rPr>
                <w:spacing w:val="3"/>
              </w:rPr>
              <w:t>分，良得</w:t>
            </w:r>
            <w:r>
              <w:rPr>
                <w:spacing w:val="-32"/>
              </w:rPr>
              <w:t xml:space="preserve"> </w:t>
            </w:r>
            <w:r>
              <w:rPr>
                <w:spacing w:val="3"/>
              </w:rPr>
              <w:t>5-9</w:t>
            </w:r>
            <w:r>
              <w:rPr>
                <w:spacing w:val="-38"/>
              </w:rPr>
              <w:t xml:space="preserve"> </w:t>
            </w:r>
            <w:r>
              <w:rPr>
                <w:spacing w:val="3"/>
              </w:rPr>
              <w:t>分， 一般得</w:t>
            </w:r>
            <w:r>
              <w:rPr>
                <w:spacing w:val="-24"/>
              </w:rPr>
              <w:t xml:space="preserve"> </w:t>
            </w:r>
            <w:r>
              <w:rPr>
                <w:spacing w:val="2"/>
              </w:rPr>
              <w:t>1-4</w:t>
            </w:r>
            <w:r>
              <w:rPr>
                <w:spacing w:val="-38"/>
              </w:rPr>
              <w:t xml:space="preserve"> </w:t>
            </w:r>
            <w:r>
              <w:rPr>
                <w:spacing w:val="2"/>
              </w:rPr>
              <w:t>分；其他</w:t>
            </w:r>
            <w:r>
              <w:t xml:space="preserve"> </w:t>
            </w:r>
            <w:r>
              <w:rPr>
                <w:spacing w:val="8"/>
              </w:rPr>
              <w:t>人员资历及类似项目工程经验，横向对比各投标</w:t>
            </w:r>
            <w:r>
              <w:rPr>
                <w:spacing w:val="7"/>
              </w:rPr>
              <w:t>人，优得</w:t>
            </w:r>
            <w:r>
              <w:rPr>
                <w:spacing w:val="-32"/>
              </w:rPr>
              <w:t xml:space="preserve"> </w:t>
            </w:r>
            <w:r>
              <w:rPr>
                <w:rFonts w:hint="eastAsia"/>
                <w:spacing w:val="-32"/>
                <w:lang w:val="en-US" w:eastAsia="zh-CN"/>
              </w:rPr>
              <w:t xml:space="preserve">10-1 </w:t>
            </w:r>
            <w:r>
              <w:rPr>
                <w:spacing w:val="7"/>
              </w:rPr>
              <w:t>5</w:t>
            </w:r>
            <w:r>
              <w:rPr>
                <w:spacing w:val="-36"/>
              </w:rPr>
              <w:t xml:space="preserve"> </w:t>
            </w:r>
            <w:r>
              <w:rPr>
                <w:spacing w:val="7"/>
              </w:rPr>
              <w:t>分，</w:t>
            </w:r>
            <w:r>
              <w:rPr>
                <w:spacing w:val="-49"/>
              </w:rPr>
              <w:t xml:space="preserve"> </w:t>
            </w:r>
            <w:r>
              <w:rPr>
                <w:spacing w:val="7"/>
              </w:rPr>
              <w:t>良</w:t>
            </w:r>
            <w:r>
              <w:t xml:space="preserve"> </w:t>
            </w:r>
            <w:r>
              <w:rPr>
                <w:spacing w:val="4"/>
              </w:rPr>
              <w:t>得</w:t>
            </w:r>
            <w:r>
              <w:rPr>
                <w:spacing w:val="-19"/>
              </w:rPr>
              <w:t xml:space="preserve"> </w:t>
            </w:r>
            <w:r>
              <w:rPr>
                <w:rFonts w:hint="eastAsia"/>
                <w:spacing w:val="-19"/>
                <w:lang w:val="en-US" w:eastAsia="zh-CN"/>
              </w:rPr>
              <w:t>5-9</w:t>
            </w:r>
            <w:r>
              <w:rPr>
                <w:spacing w:val="-35"/>
              </w:rPr>
              <w:t xml:space="preserve"> </w:t>
            </w:r>
            <w:r>
              <w:rPr>
                <w:spacing w:val="4"/>
              </w:rPr>
              <w:t>分， 一般得</w:t>
            </w:r>
            <w:r>
              <w:rPr>
                <w:spacing w:val="-22"/>
              </w:rPr>
              <w:t xml:space="preserve"> </w:t>
            </w:r>
            <w:r>
              <w:rPr>
                <w:spacing w:val="4"/>
              </w:rPr>
              <w:t>1</w:t>
            </w:r>
            <w:r>
              <w:rPr>
                <w:rFonts w:hint="eastAsia"/>
                <w:spacing w:val="4"/>
                <w:lang w:val="en-US" w:eastAsia="zh-CN"/>
              </w:rPr>
              <w:t>-4</w:t>
            </w:r>
            <w:r>
              <w:rPr>
                <w:spacing w:val="-38"/>
              </w:rPr>
              <w:t xml:space="preserve"> </w:t>
            </w:r>
            <w:r>
              <w:rPr>
                <w:spacing w:val="4"/>
              </w:rPr>
              <w:t>分。（如果中标，承诺管理人员配置表中所列人</w:t>
            </w:r>
            <w:r>
              <w:t xml:space="preserve"> </w:t>
            </w:r>
            <w:r>
              <w:rPr>
                <w:spacing w:val="6"/>
              </w:rPr>
              <w:t>员必需到场。）</w:t>
            </w:r>
          </w:p>
        </w:tc>
      </w:tr>
      <w:tr w14:paraId="36EB1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61" w:type="dxa"/>
            <w:vMerge w:val="continue"/>
            <w:tcBorders>
              <w:top w:val="nil"/>
            </w:tcBorders>
            <w:textDirection w:val="tbRlV"/>
            <w:vAlign w:val="top"/>
          </w:tcPr>
          <w:p w14:paraId="20831458">
            <w:pPr>
              <w:rPr>
                <w:rFonts w:ascii="Arial"/>
                <w:sz w:val="21"/>
              </w:rPr>
            </w:pPr>
          </w:p>
        </w:tc>
        <w:tc>
          <w:tcPr>
            <w:tcW w:w="578" w:type="dxa"/>
            <w:vMerge w:val="continue"/>
            <w:tcBorders>
              <w:top w:val="nil"/>
            </w:tcBorders>
            <w:vAlign w:val="top"/>
          </w:tcPr>
          <w:p w14:paraId="568D2C7A">
            <w:pPr>
              <w:rPr>
                <w:rFonts w:ascii="Arial"/>
                <w:sz w:val="21"/>
              </w:rPr>
            </w:pPr>
          </w:p>
        </w:tc>
        <w:tc>
          <w:tcPr>
            <w:tcW w:w="1080" w:type="dxa"/>
            <w:vAlign w:val="top"/>
          </w:tcPr>
          <w:p w14:paraId="39A8AB97">
            <w:pPr>
              <w:pStyle w:val="10"/>
              <w:spacing w:before="300" w:line="228" w:lineRule="auto"/>
              <w:ind w:left="386"/>
            </w:pPr>
            <w:r>
              <w:rPr>
                <w:spacing w:val="4"/>
              </w:rPr>
              <w:t>述标</w:t>
            </w:r>
          </w:p>
        </w:tc>
        <w:tc>
          <w:tcPr>
            <w:tcW w:w="688" w:type="dxa"/>
            <w:vAlign w:val="top"/>
          </w:tcPr>
          <w:p w14:paraId="17A92604">
            <w:pPr>
              <w:pStyle w:val="10"/>
              <w:spacing w:before="300" w:line="228" w:lineRule="auto"/>
              <w:ind w:left="124"/>
            </w:pPr>
            <w:r>
              <w:rPr>
                <w:spacing w:val="-1"/>
              </w:rPr>
              <w:t>20</w:t>
            </w:r>
            <w:r>
              <w:rPr>
                <w:spacing w:val="-46"/>
              </w:rPr>
              <w:t xml:space="preserve"> </w:t>
            </w:r>
            <w:r>
              <w:rPr>
                <w:spacing w:val="-1"/>
              </w:rPr>
              <w:t>分</w:t>
            </w:r>
          </w:p>
        </w:tc>
        <w:tc>
          <w:tcPr>
            <w:tcW w:w="6334" w:type="dxa"/>
            <w:vAlign w:val="top"/>
          </w:tcPr>
          <w:p w14:paraId="278BB6EE">
            <w:pPr>
              <w:pStyle w:val="10"/>
              <w:spacing w:before="144" w:line="302" w:lineRule="auto"/>
              <w:ind w:left="16" w:right="37" w:firstLine="111"/>
            </w:pPr>
            <w:r>
              <w:rPr>
                <w:spacing w:val="5"/>
              </w:rPr>
              <w:t>结合本工程实际情况，在工期、质量、安全及费用控制方面的述标。</w:t>
            </w:r>
            <w:r>
              <w:rPr>
                <w:spacing w:val="12"/>
              </w:rPr>
              <w:t xml:space="preserve"> </w:t>
            </w:r>
            <w:r>
              <w:rPr>
                <w:spacing w:val="7"/>
              </w:rPr>
              <w:t>切实可行：15-20</w:t>
            </w:r>
            <w:r>
              <w:rPr>
                <w:spacing w:val="-38"/>
              </w:rPr>
              <w:t xml:space="preserve"> </w:t>
            </w:r>
            <w:r>
              <w:rPr>
                <w:spacing w:val="7"/>
              </w:rPr>
              <w:t>分,可行：10-14，</w:t>
            </w:r>
            <w:r>
              <w:rPr>
                <w:spacing w:val="6"/>
              </w:rPr>
              <w:t>一般：1-9</w:t>
            </w:r>
          </w:p>
        </w:tc>
      </w:tr>
    </w:tbl>
    <w:p w14:paraId="508FC8BE">
      <w:pPr>
        <w:spacing w:before="259" w:line="360" w:lineRule="auto"/>
        <w:ind w:left="690"/>
        <w:rPr>
          <w:rFonts w:ascii="宋体" w:hAnsi="宋体" w:eastAsia="宋体" w:cs="宋体"/>
          <w:sz w:val="24"/>
          <w:szCs w:val="24"/>
        </w:rPr>
      </w:pPr>
      <w:r>
        <w:rPr>
          <w:rFonts w:ascii="宋体" w:hAnsi="宋体" w:eastAsia="宋体" w:cs="宋体"/>
          <w:b/>
          <w:bCs/>
          <w:spacing w:val="-3"/>
          <w:sz w:val="24"/>
          <w:szCs w:val="24"/>
        </w:rPr>
        <w:t>十、确定单位程序</w:t>
      </w:r>
    </w:p>
    <w:p w14:paraId="27822CD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依据各单位提交的报价文件，由谈判小组依次与递交合格报价单的单位进行谈 判，谈判后各单位根据实际情况进行第二次报价。谈判小组依据第二次报价，综合各单位对于本项目的述标情况综合评判，确定本项目施工单位。</w:t>
      </w:r>
    </w:p>
    <w:p w14:paraId="664EEC7D">
      <w:pPr>
        <w:pStyle w:val="2"/>
        <w:ind w:left="0" w:leftChars="0" w:firstLine="705" w:firstLineChars="300"/>
        <w:rPr>
          <w:rFonts w:hint="eastAsia" w:ascii="宋体" w:hAnsi="宋体" w:eastAsia="宋体" w:cs="宋体"/>
          <w:spacing w:val="-1"/>
          <w:sz w:val="24"/>
          <w:szCs w:val="24"/>
          <w:lang w:eastAsia="zh-CN"/>
        </w:rPr>
        <w:sectPr>
          <w:footerReference r:id="rId7" w:type="default"/>
          <w:pgSz w:w="11906" w:h="16839"/>
          <w:pgMar w:top="1431" w:right="1393" w:bottom="1156" w:left="1595" w:header="0" w:footer="994" w:gutter="0"/>
          <w:cols w:space="720" w:num="1"/>
        </w:sectPr>
      </w:pPr>
      <w:r>
        <w:rPr>
          <w:rFonts w:ascii="宋体" w:hAnsi="宋体" w:eastAsia="宋体" w:cs="宋体"/>
          <w:b/>
          <w:bCs/>
          <w:spacing w:val="-3"/>
          <w:sz w:val="24"/>
          <w:szCs w:val="24"/>
        </w:rPr>
        <w:t>十一、合同格式及条款</w:t>
      </w:r>
    </w:p>
    <w:p w14:paraId="12787735">
      <w:pPr>
        <w:pStyle w:val="6"/>
        <w:spacing w:line="267" w:lineRule="auto"/>
      </w:pPr>
    </w:p>
    <w:p w14:paraId="2256F462">
      <w:pPr>
        <w:spacing w:before="78" w:line="218" w:lineRule="auto"/>
        <w:ind w:left="5502"/>
        <w:rPr>
          <w:rFonts w:ascii="宋体" w:hAnsi="宋体" w:eastAsia="宋体" w:cs="宋体"/>
          <w:sz w:val="24"/>
          <w:szCs w:val="24"/>
        </w:rPr>
      </w:pPr>
      <w:r>
        <w:rPr>
          <w:rFonts w:ascii="宋体" w:hAnsi="宋体" w:eastAsia="宋体" w:cs="宋体"/>
          <w:b/>
          <w:bCs/>
          <w:spacing w:val="-2"/>
          <w:sz w:val="24"/>
          <w:szCs w:val="24"/>
        </w:rPr>
        <w:t>合同编号：RQGC-J-2024-</w:t>
      </w:r>
    </w:p>
    <w:p w14:paraId="7743B5BC">
      <w:pPr>
        <w:pStyle w:val="6"/>
        <w:spacing w:line="266" w:lineRule="auto"/>
      </w:pPr>
    </w:p>
    <w:p w14:paraId="17362946">
      <w:pPr>
        <w:pStyle w:val="6"/>
        <w:spacing w:line="266" w:lineRule="auto"/>
      </w:pPr>
    </w:p>
    <w:p w14:paraId="7E0FFCE9">
      <w:pPr>
        <w:pStyle w:val="6"/>
        <w:spacing w:line="266" w:lineRule="auto"/>
      </w:pPr>
    </w:p>
    <w:p w14:paraId="7A20F183">
      <w:pPr>
        <w:pStyle w:val="6"/>
        <w:spacing w:line="266" w:lineRule="auto"/>
      </w:pPr>
    </w:p>
    <w:p w14:paraId="2154840F">
      <w:pPr>
        <w:pStyle w:val="6"/>
        <w:spacing w:line="266" w:lineRule="auto"/>
      </w:pPr>
    </w:p>
    <w:p w14:paraId="5F92FC84">
      <w:pPr>
        <w:pStyle w:val="6"/>
        <w:spacing w:line="266" w:lineRule="auto"/>
      </w:pPr>
    </w:p>
    <w:p w14:paraId="20B8B237">
      <w:pPr>
        <w:pStyle w:val="6"/>
        <w:spacing w:line="267" w:lineRule="auto"/>
      </w:pPr>
    </w:p>
    <w:p w14:paraId="581683ED">
      <w:pPr>
        <w:spacing w:before="114" w:line="225" w:lineRule="auto"/>
        <w:ind w:left="2026"/>
        <w:rPr>
          <w:rFonts w:ascii="宋体" w:hAnsi="宋体" w:eastAsia="宋体" w:cs="宋体"/>
          <w:sz w:val="35"/>
          <w:szCs w:val="35"/>
        </w:rPr>
      </w:pPr>
      <w:r>
        <w:rPr>
          <w:rFonts w:ascii="宋体" w:hAnsi="宋体" w:eastAsia="宋体" w:cs="宋体"/>
          <w:b/>
          <w:bCs/>
          <w:spacing w:val="4"/>
          <w:sz w:val="35"/>
          <w:szCs w:val="35"/>
        </w:rPr>
        <w:t>陕西燃气集团工程有限公司</w:t>
      </w:r>
    </w:p>
    <w:p w14:paraId="0135608D">
      <w:pPr>
        <w:spacing w:before="300" w:line="225" w:lineRule="auto"/>
        <w:ind w:left="328"/>
        <w:jc w:val="both"/>
        <w:outlineLvl w:val="1"/>
        <w:rPr>
          <w:rFonts w:hint="eastAsia" w:ascii="宋体" w:hAnsi="宋体" w:eastAsia="宋体" w:cs="宋体"/>
          <w:sz w:val="35"/>
          <w:szCs w:val="35"/>
          <w:lang w:eastAsia="zh-CN"/>
        </w:rPr>
      </w:pPr>
      <w:r>
        <w:rPr>
          <w:rFonts w:hint="eastAsia" w:ascii="宋体" w:hAnsi="宋体" w:eastAsia="宋体" w:cs="宋体"/>
          <w:b/>
          <w:bCs/>
          <w:spacing w:val="1"/>
          <w:sz w:val="35"/>
          <w:szCs w:val="35"/>
          <w:lang w:eastAsia="zh-CN"/>
        </w:rPr>
        <w:t>陇漳岷天然气长输管道输配工程（陇漳段）项目</w:t>
      </w:r>
    </w:p>
    <w:p w14:paraId="3F0A4E8C">
      <w:pPr>
        <w:pStyle w:val="6"/>
        <w:spacing w:line="259" w:lineRule="auto"/>
        <w:jc w:val="both"/>
      </w:pPr>
    </w:p>
    <w:p w14:paraId="75777D51">
      <w:pPr>
        <w:spacing w:before="300" w:line="225" w:lineRule="auto"/>
        <w:ind w:left="328"/>
        <w:jc w:val="center"/>
        <w:outlineLvl w:val="1"/>
        <w:rPr>
          <w:rFonts w:hint="eastAsia" w:ascii="宋体" w:hAnsi="宋体" w:eastAsia="宋体" w:cs="宋体"/>
          <w:b/>
          <w:bCs/>
          <w:spacing w:val="1"/>
          <w:sz w:val="35"/>
          <w:szCs w:val="35"/>
          <w:lang w:eastAsia="zh-CN"/>
        </w:rPr>
      </w:pPr>
      <w:r>
        <w:rPr>
          <w:rFonts w:hint="eastAsia" w:ascii="宋体" w:hAnsi="宋体" w:eastAsia="宋体" w:cs="宋体"/>
          <w:b/>
          <w:bCs/>
          <w:spacing w:val="1"/>
          <w:sz w:val="35"/>
          <w:szCs w:val="35"/>
          <w:lang w:val="en-US" w:eastAsia="zh-CN"/>
        </w:rPr>
        <w:t>（Ⅱ标段）施工</w:t>
      </w:r>
      <w:r>
        <w:rPr>
          <w:rFonts w:hint="eastAsia" w:ascii="宋体" w:hAnsi="宋体" w:eastAsia="宋体" w:cs="宋体"/>
          <w:b/>
          <w:bCs/>
          <w:spacing w:val="1"/>
          <w:sz w:val="35"/>
          <w:szCs w:val="35"/>
          <w:lang w:eastAsia="zh-CN"/>
        </w:rPr>
        <w:t>劳务分包</w:t>
      </w:r>
      <w:r>
        <w:rPr>
          <w:rFonts w:hint="eastAsia" w:ascii="宋体" w:hAnsi="宋体" w:eastAsia="宋体" w:cs="宋体"/>
          <w:b/>
          <w:bCs/>
          <w:spacing w:val="1"/>
          <w:sz w:val="35"/>
          <w:szCs w:val="35"/>
          <w:lang w:val="en-US" w:eastAsia="zh-CN"/>
        </w:rPr>
        <w:t>合同</w:t>
      </w:r>
    </w:p>
    <w:p w14:paraId="32838038">
      <w:pPr>
        <w:pStyle w:val="6"/>
        <w:spacing w:line="262" w:lineRule="auto"/>
      </w:pPr>
    </w:p>
    <w:p w14:paraId="714BD0FA">
      <w:pPr>
        <w:pStyle w:val="6"/>
        <w:spacing w:line="262" w:lineRule="auto"/>
      </w:pPr>
    </w:p>
    <w:p w14:paraId="182B57AF">
      <w:pPr>
        <w:pStyle w:val="6"/>
        <w:spacing w:line="263" w:lineRule="auto"/>
      </w:pPr>
    </w:p>
    <w:p w14:paraId="19B138BC">
      <w:pPr>
        <w:pStyle w:val="6"/>
        <w:spacing w:line="263" w:lineRule="auto"/>
      </w:pPr>
    </w:p>
    <w:p w14:paraId="4C10D317">
      <w:pPr>
        <w:pStyle w:val="6"/>
        <w:spacing w:line="263" w:lineRule="auto"/>
      </w:pPr>
    </w:p>
    <w:p w14:paraId="1495D910">
      <w:pPr>
        <w:pStyle w:val="6"/>
        <w:spacing w:line="263" w:lineRule="auto"/>
      </w:pPr>
    </w:p>
    <w:p w14:paraId="23D8E824">
      <w:pPr>
        <w:pStyle w:val="6"/>
        <w:spacing w:line="253" w:lineRule="auto"/>
      </w:pPr>
    </w:p>
    <w:p w14:paraId="555E1DC2">
      <w:pPr>
        <w:pStyle w:val="6"/>
        <w:spacing w:line="254" w:lineRule="auto"/>
      </w:pPr>
    </w:p>
    <w:p w14:paraId="64BB58A7">
      <w:pPr>
        <w:pStyle w:val="6"/>
        <w:spacing w:line="254" w:lineRule="auto"/>
      </w:pPr>
    </w:p>
    <w:p w14:paraId="4A13FE67">
      <w:pPr>
        <w:pStyle w:val="6"/>
        <w:spacing w:line="254" w:lineRule="auto"/>
      </w:pPr>
    </w:p>
    <w:p w14:paraId="6D7BED67">
      <w:pPr>
        <w:pStyle w:val="6"/>
        <w:spacing w:line="254" w:lineRule="auto"/>
      </w:pPr>
    </w:p>
    <w:p w14:paraId="2D454AE9">
      <w:pPr>
        <w:pStyle w:val="6"/>
        <w:spacing w:line="254" w:lineRule="auto"/>
      </w:pPr>
    </w:p>
    <w:p w14:paraId="22B97804">
      <w:pPr>
        <w:pStyle w:val="6"/>
        <w:spacing w:line="254" w:lineRule="auto"/>
      </w:pPr>
    </w:p>
    <w:p w14:paraId="0968A4C4">
      <w:pPr>
        <w:pStyle w:val="6"/>
        <w:spacing w:line="254" w:lineRule="auto"/>
      </w:pPr>
    </w:p>
    <w:p w14:paraId="1D986098">
      <w:pPr>
        <w:pStyle w:val="6"/>
        <w:spacing w:line="254" w:lineRule="auto"/>
      </w:pPr>
    </w:p>
    <w:p w14:paraId="06A3C817">
      <w:pPr>
        <w:pStyle w:val="6"/>
        <w:spacing w:line="254" w:lineRule="auto"/>
      </w:pPr>
    </w:p>
    <w:p w14:paraId="12183AD2">
      <w:pPr>
        <w:pStyle w:val="6"/>
        <w:spacing w:line="254" w:lineRule="auto"/>
      </w:pPr>
    </w:p>
    <w:p w14:paraId="0E986736">
      <w:pPr>
        <w:pStyle w:val="6"/>
        <w:spacing w:line="254" w:lineRule="auto"/>
      </w:pPr>
    </w:p>
    <w:p w14:paraId="2F63A072">
      <w:pPr>
        <w:pStyle w:val="6"/>
        <w:spacing w:line="254" w:lineRule="auto"/>
      </w:pPr>
    </w:p>
    <w:p w14:paraId="1E2B62F5">
      <w:pPr>
        <w:spacing w:before="97" w:line="230" w:lineRule="auto"/>
        <w:ind w:left="1487" w:right="1164" w:hanging="3"/>
        <w:rPr>
          <w:rFonts w:ascii="宋体" w:hAnsi="宋体" w:eastAsia="宋体" w:cs="宋体"/>
          <w:sz w:val="30"/>
          <w:szCs w:val="30"/>
        </w:rPr>
      </w:pPr>
      <w:r>
        <w:rPr>
          <w:rFonts w:ascii="宋体" w:hAnsi="宋体" w:eastAsia="宋体" w:cs="宋体"/>
          <w:spacing w:val="-3"/>
          <w:sz w:val="30"/>
          <w:szCs w:val="30"/>
        </w:rPr>
        <w:t>承 包 人：</w:t>
      </w:r>
      <w:r>
        <w:rPr>
          <w:rFonts w:ascii="宋体" w:hAnsi="宋体" w:eastAsia="宋体" w:cs="宋体"/>
          <w:spacing w:val="23"/>
          <w:sz w:val="30"/>
          <w:szCs w:val="30"/>
          <w:u w:val="single" w:color="auto"/>
        </w:rPr>
        <w:t xml:space="preserve">  </w:t>
      </w:r>
      <w:r>
        <w:rPr>
          <w:rFonts w:ascii="宋体" w:hAnsi="宋体" w:eastAsia="宋体" w:cs="宋体"/>
          <w:spacing w:val="-3"/>
          <w:sz w:val="30"/>
          <w:szCs w:val="30"/>
          <w:u w:val="single" w:color="auto"/>
        </w:rPr>
        <w:t xml:space="preserve">陕西燃气集团工程有限公司  </w:t>
      </w:r>
      <w:r>
        <w:rPr>
          <w:rFonts w:ascii="宋体" w:hAnsi="宋体" w:eastAsia="宋体" w:cs="宋体"/>
          <w:spacing w:val="1"/>
          <w:sz w:val="30"/>
          <w:szCs w:val="30"/>
        </w:rPr>
        <w:t xml:space="preserve"> </w:t>
      </w:r>
      <w:r>
        <w:rPr>
          <w:rFonts w:ascii="宋体" w:hAnsi="宋体" w:eastAsia="宋体" w:cs="宋体"/>
          <w:spacing w:val="-11"/>
          <w:sz w:val="30"/>
          <w:szCs w:val="30"/>
        </w:rPr>
        <w:t>分</w:t>
      </w:r>
      <w:r>
        <w:rPr>
          <w:rFonts w:ascii="宋体" w:hAnsi="宋体" w:eastAsia="宋体" w:cs="宋体"/>
          <w:spacing w:val="10"/>
          <w:sz w:val="30"/>
          <w:szCs w:val="30"/>
        </w:rPr>
        <w:t xml:space="preserve"> </w:t>
      </w:r>
      <w:r>
        <w:rPr>
          <w:rFonts w:ascii="宋体" w:hAnsi="宋体" w:eastAsia="宋体" w:cs="宋体"/>
          <w:spacing w:val="-11"/>
          <w:sz w:val="30"/>
          <w:szCs w:val="30"/>
        </w:rPr>
        <w:t>包</w:t>
      </w:r>
      <w:r>
        <w:rPr>
          <w:rFonts w:ascii="宋体" w:hAnsi="宋体" w:eastAsia="宋体" w:cs="宋体"/>
          <w:spacing w:val="16"/>
          <w:sz w:val="30"/>
          <w:szCs w:val="30"/>
        </w:rPr>
        <w:t xml:space="preserve"> </w:t>
      </w:r>
      <w:r>
        <w:rPr>
          <w:rFonts w:ascii="宋体" w:hAnsi="宋体" w:eastAsia="宋体" w:cs="宋体"/>
          <w:spacing w:val="-11"/>
          <w:sz w:val="30"/>
          <w:szCs w:val="30"/>
        </w:rPr>
        <w:t>人</w:t>
      </w:r>
      <w:r>
        <w:rPr>
          <w:rFonts w:ascii="宋体" w:hAnsi="宋体" w:eastAsia="宋体" w:cs="宋体"/>
          <w:spacing w:val="-113"/>
          <w:sz w:val="30"/>
          <w:szCs w:val="30"/>
        </w:rPr>
        <w:t xml:space="preserve"> </w:t>
      </w:r>
      <w:r>
        <w:rPr>
          <w:rFonts w:ascii="宋体" w:hAnsi="宋体" w:eastAsia="宋体" w:cs="宋体"/>
          <w:spacing w:val="-11"/>
          <w:sz w:val="30"/>
          <w:szCs w:val="30"/>
        </w:rPr>
        <w:t>：</w:t>
      </w:r>
      <w:r>
        <w:rPr>
          <w:rFonts w:ascii="宋体" w:hAnsi="宋体" w:eastAsia="宋体" w:cs="宋体"/>
          <w:spacing w:val="-11"/>
          <w:sz w:val="30"/>
          <w:szCs w:val="30"/>
          <w:u w:val="single" w:color="auto"/>
        </w:rPr>
        <w:t xml:space="preserve">                        </w:t>
      </w:r>
      <w:r>
        <w:rPr>
          <w:rFonts w:ascii="宋体" w:hAnsi="宋体" w:eastAsia="宋体" w:cs="宋体"/>
          <w:spacing w:val="-12"/>
          <w:sz w:val="30"/>
          <w:szCs w:val="30"/>
          <w:u w:val="single" w:color="auto"/>
        </w:rPr>
        <w:t xml:space="preserve">      </w:t>
      </w:r>
    </w:p>
    <w:p w14:paraId="3882102B">
      <w:pPr>
        <w:spacing w:before="35" w:line="219" w:lineRule="auto"/>
        <w:ind w:left="1484"/>
        <w:rPr>
          <w:rFonts w:ascii="宋体" w:hAnsi="宋体" w:eastAsia="宋体" w:cs="宋体"/>
          <w:sz w:val="30"/>
          <w:szCs w:val="30"/>
        </w:rPr>
      </w:pPr>
      <w:r>
        <w:rPr>
          <w:rFonts w:ascii="宋体" w:hAnsi="宋体" w:eastAsia="宋体" w:cs="宋体"/>
          <w:spacing w:val="-3"/>
          <w:sz w:val="30"/>
          <w:szCs w:val="30"/>
        </w:rPr>
        <w:t>签约日期：</w:t>
      </w:r>
      <w:r>
        <w:rPr>
          <w:rFonts w:ascii="宋体" w:hAnsi="宋体" w:eastAsia="宋体" w:cs="宋体"/>
          <w:spacing w:val="-3"/>
          <w:sz w:val="30"/>
          <w:szCs w:val="30"/>
          <w:u w:val="single" w:color="auto"/>
        </w:rPr>
        <w:t xml:space="preserve">      </w:t>
      </w:r>
      <w:r>
        <w:rPr>
          <w:rFonts w:ascii="宋体" w:hAnsi="宋体" w:eastAsia="宋体" w:cs="宋体"/>
          <w:spacing w:val="-3"/>
          <w:sz w:val="30"/>
          <w:szCs w:val="30"/>
        </w:rPr>
        <w:t xml:space="preserve"> 年</w:t>
      </w:r>
      <w:r>
        <w:rPr>
          <w:rFonts w:ascii="宋体" w:hAnsi="宋体" w:eastAsia="宋体" w:cs="宋体"/>
          <w:spacing w:val="13"/>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8"/>
          <w:sz w:val="30"/>
          <w:szCs w:val="30"/>
        </w:rPr>
        <w:t xml:space="preserve"> </w:t>
      </w:r>
      <w:r>
        <w:rPr>
          <w:rFonts w:ascii="宋体" w:hAnsi="宋体" w:eastAsia="宋体" w:cs="宋体"/>
          <w:spacing w:val="-3"/>
          <w:sz w:val="30"/>
          <w:szCs w:val="30"/>
        </w:rPr>
        <w:t>月</w:t>
      </w:r>
      <w:r>
        <w:rPr>
          <w:rFonts w:ascii="宋体" w:hAnsi="宋体" w:eastAsia="宋体" w:cs="宋体"/>
          <w:spacing w:val="1"/>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62"/>
          <w:sz w:val="30"/>
          <w:szCs w:val="30"/>
        </w:rPr>
        <w:t xml:space="preserve"> </w:t>
      </w:r>
      <w:r>
        <w:rPr>
          <w:rFonts w:ascii="宋体" w:hAnsi="宋体" w:eastAsia="宋体" w:cs="宋体"/>
          <w:spacing w:val="-3"/>
          <w:sz w:val="30"/>
          <w:szCs w:val="30"/>
        </w:rPr>
        <w:t>日</w:t>
      </w:r>
    </w:p>
    <w:p w14:paraId="0844629D">
      <w:pPr>
        <w:spacing w:before="227" w:line="219" w:lineRule="auto"/>
        <w:ind w:left="1484"/>
        <w:rPr>
          <w:rFonts w:ascii="宋体" w:hAnsi="宋体" w:eastAsia="宋体" w:cs="宋体"/>
          <w:sz w:val="30"/>
          <w:szCs w:val="30"/>
        </w:rPr>
      </w:pPr>
      <w:r>
        <w:rPr>
          <w:rFonts w:ascii="宋体" w:hAnsi="宋体" w:eastAsia="宋体" w:cs="宋体"/>
          <w:spacing w:val="-1"/>
          <w:sz w:val="30"/>
          <w:szCs w:val="30"/>
        </w:rPr>
        <w:t>签约地点：</w:t>
      </w:r>
      <w:r>
        <w:rPr>
          <w:rFonts w:ascii="宋体" w:hAnsi="宋体" w:eastAsia="宋体" w:cs="宋体"/>
          <w:spacing w:val="-1"/>
          <w:sz w:val="30"/>
          <w:szCs w:val="30"/>
          <w:u w:val="single" w:color="auto"/>
        </w:rPr>
        <w:t xml:space="preserve">    西安市经济技术开发区</w:t>
      </w:r>
      <w:r>
        <w:rPr>
          <w:rFonts w:ascii="宋体" w:hAnsi="宋体" w:eastAsia="宋体" w:cs="宋体"/>
          <w:spacing w:val="1"/>
          <w:sz w:val="30"/>
          <w:szCs w:val="30"/>
          <w:u w:val="single" w:color="auto"/>
        </w:rPr>
        <w:t xml:space="preserve">    </w:t>
      </w:r>
    </w:p>
    <w:p w14:paraId="10226E7C">
      <w:pPr>
        <w:pStyle w:val="6"/>
        <w:spacing w:line="270" w:lineRule="auto"/>
      </w:pPr>
    </w:p>
    <w:p w14:paraId="630072EF">
      <w:pPr>
        <w:pStyle w:val="6"/>
        <w:spacing w:line="270" w:lineRule="auto"/>
      </w:pPr>
    </w:p>
    <w:p w14:paraId="2277AFED">
      <w:pPr>
        <w:rPr>
          <w:rFonts w:ascii="宋体" w:hAnsi="宋体" w:eastAsia="宋体" w:cs="宋体"/>
          <w:b/>
          <w:bCs/>
          <w:spacing w:val="2"/>
          <w:sz w:val="31"/>
          <w:szCs w:val="31"/>
        </w:rPr>
      </w:pPr>
      <w:r>
        <w:rPr>
          <w:rFonts w:ascii="宋体" w:hAnsi="宋体" w:eastAsia="宋体" w:cs="宋体"/>
          <w:b/>
          <w:bCs/>
          <w:spacing w:val="2"/>
          <w:sz w:val="31"/>
          <w:szCs w:val="31"/>
        </w:rPr>
        <w:br w:type="page"/>
      </w:r>
    </w:p>
    <w:p w14:paraId="69281DFC">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陇漳岷天然气长输管道输配工程（陇漳段）项目</w:t>
      </w:r>
    </w:p>
    <w:p w14:paraId="59A3ADE3">
      <w:pPr>
        <w:jc w:val="center"/>
        <w:rPr>
          <w:rFonts w:hint="eastAsia" w:ascii="宋体" w:hAnsi="宋体" w:eastAsia="宋体" w:cs="宋体"/>
          <w:b/>
          <w:bCs/>
          <w:sz w:val="32"/>
          <w:szCs w:val="32"/>
        </w:rPr>
      </w:pPr>
      <w:r>
        <w:rPr>
          <w:rFonts w:hint="eastAsia" w:ascii="宋体" w:hAnsi="宋体" w:eastAsia="宋体" w:cs="宋体"/>
          <w:b/>
          <w:bCs w:val="0"/>
          <w:color w:val="000000"/>
          <w:kern w:val="2"/>
          <w:sz w:val="32"/>
          <w:szCs w:val="32"/>
          <w:highlight w:val="none"/>
          <w:lang w:val="en-US" w:eastAsia="zh-CN" w:bidi="ar-SA"/>
        </w:rPr>
        <w:t>（Ⅱ标段）</w:t>
      </w:r>
      <w:r>
        <w:rPr>
          <w:rFonts w:hint="eastAsia" w:ascii="宋体" w:hAnsi="宋体" w:eastAsia="宋体" w:cs="宋体"/>
          <w:b/>
          <w:bCs/>
          <w:sz w:val="32"/>
          <w:szCs w:val="32"/>
          <w:lang w:val="en-US" w:eastAsia="zh-CN"/>
        </w:rPr>
        <w:t>施工</w:t>
      </w:r>
      <w:r>
        <w:rPr>
          <w:rFonts w:hint="eastAsia" w:ascii="宋体" w:hAnsi="宋体" w:eastAsia="宋体" w:cs="宋体"/>
          <w:b/>
          <w:bCs/>
          <w:sz w:val="32"/>
          <w:szCs w:val="32"/>
        </w:rPr>
        <w:t>劳务分包合同</w:t>
      </w:r>
    </w:p>
    <w:p w14:paraId="2AD315AD">
      <w:pPr>
        <w:spacing w:before="78" w:line="347" w:lineRule="auto"/>
        <w:ind w:left="482" w:right="2761" w:hanging="5"/>
        <w:rPr>
          <w:rFonts w:ascii="宋体" w:hAnsi="宋体" w:eastAsia="宋体" w:cs="宋体"/>
          <w:spacing w:val="-2"/>
          <w:sz w:val="24"/>
          <w:szCs w:val="24"/>
        </w:rPr>
      </w:pPr>
    </w:p>
    <w:p w14:paraId="6F37A53B">
      <w:pPr>
        <w:spacing w:before="78" w:line="347" w:lineRule="auto"/>
        <w:ind w:left="482" w:right="2761" w:hanging="5"/>
        <w:rPr>
          <w:rFonts w:ascii="宋体" w:hAnsi="宋体" w:eastAsia="宋体" w:cs="宋体"/>
          <w:sz w:val="24"/>
          <w:szCs w:val="24"/>
        </w:rPr>
      </w:pPr>
      <w:r>
        <w:rPr>
          <w:rFonts w:ascii="宋体" w:hAnsi="宋体" w:eastAsia="宋体" w:cs="宋体"/>
          <w:spacing w:val="-2"/>
          <w:sz w:val="24"/>
          <w:szCs w:val="24"/>
        </w:rPr>
        <w:t>承包人（甲方</w:t>
      </w:r>
      <w:r>
        <w:rPr>
          <w:rFonts w:ascii="宋体" w:hAnsi="宋体" w:eastAsia="宋体" w:cs="宋体"/>
          <w:sz w:val="24"/>
          <w:szCs w:val="24"/>
        </w:rPr>
        <w:t>）：</w:t>
      </w:r>
      <w:r>
        <w:rPr>
          <w:rFonts w:ascii="宋体" w:hAnsi="宋体" w:eastAsia="宋体" w:cs="宋体"/>
          <w:spacing w:val="14"/>
          <w:sz w:val="24"/>
          <w:szCs w:val="24"/>
          <w:u w:val="single" w:color="auto"/>
        </w:rPr>
        <w:t xml:space="preserve">  </w:t>
      </w:r>
      <w:r>
        <w:rPr>
          <w:rFonts w:ascii="宋体" w:hAnsi="宋体" w:eastAsia="宋体" w:cs="宋体"/>
          <w:spacing w:val="-2"/>
          <w:sz w:val="24"/>
          <w:szCs w:val="24"/>
          <w:u w:val="single" w:color="auto"/>
        </w:rPr>
        <w:t xml:space="preserve">陕西燃气集团工程有限公司  </w:t>
      </w:r>
      <w:r>
        <w:rPr>
          <w:rFonts w:ascii="宋体" w:hAnsi="宋体" w:eastAsia="宋体" w:cs="宋体"/>
          <w:sz w:val="24"/>
          <w:szCs w:val="24"/>
        </w:rPr>
        <w:t xml:space="preserve"> </w:t>
      </w:r>
      <w:r>
        <w:rPr>
          <w:rFonts w:ascii="宋体" w:hAnsi="宋体" w:eastAsia="宋体" w:cs="宋体"/>
          <w:spacing w:val="-3"/>
          <w:sz w:val="24"/>
          <w:szCs w:val="24"/>
        </w:rPr>
        <w:t>分包人（乙方</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340909C3">
      <w:pPr>
        <w:spacing w:before="28" w:line="353" w:lineRule="auto"/>
        <w:ind w:right="169" w:firstLine="481"/>
        <w:jc w:val="both"/>
        <w:rPr>
          <w:rFonts w:ascii="宋体" w:hAnsi="宋体" w:eastAsia="宋体" w:cs="宋体"/>
          <w:sz w:val="24"/>
          <w:szCs w:val="24"/>
        </w:rPr>
      </w:pPr>
      <w:r>
        <w:rPr>
          <w:rFonts w:ascii="宋体" w:hAnsi="宋体" w:eastAsia="宋体" w:cs="宋体"/>
          <w:spacing w:val="-2"/>
          <w:sz w:val="24"/>
          <w:szCs w:val="24"/>
        </w:rPr>
        <w:t>依照《中华人民共和国民法典》、《中华人民共和国建筑法》及其它有关法</w:t>
      </w:r>
      <w:r>
        <w:rPr>
          <w:rFonts w:ascii="宋体" w:hAnsi="宋体" w:eastAsia="宋体" w:cs="宋体"/>
          <w:spacing w:val="17"/>
          <w:sz w:val="24"/>
          <w:szCs w:val="24"/>
        </w:rPr>
        <w:t xml:space="preserve"> </w:t>
      </w:r>
      <w:r>
        <w:rPr>
          <w:rFonts w:ascii="宋体" w:hAnsi="宋体" w:eastAsia="宋体" w:cs="宋体"/>
          <w:spacing w:val="-2"/>
          <w:sz w:val="24"/>
          <w:szCs w:val="24"/>
        </w:rPr>
        <w:t>律、行政法规，遵循平等、</w:t>
      </w:r>
      <w:r>
        <w:rPr>
          <w:rFonts w:ascii="宋体" w:hAnsi="宋体" w:eastAsia="宋体" w:cs="宋体"/>
          <w:spacing w:val="-60"/>
          <w:sz w:val="24"/>
          <w:szCs w:val="24"/>
        </w:rPr>
        <w:t xml:space="preserve"> </w:t>
      </w:r>
      <w:r>
        <w:rPr>
          <w:rFonts w:ascii="宋体" w:hAnsi="宋体" w:eastAsia="宋体" w:cs="宋体"/>
          <w:spacing w:val="-2"/>
          <w:sz w:val="24"/>
          <w:szCs w:val="24"/>
        </w:rPr>
        <w:t xml:space="preserve">自愿、公平和诚实信用的原则，甲乙双方就 </w:t>
      </w:r>
      <w:r>
        <w:rPr>
          <w:rFonts w:ascii="宋体" w:hAnsi="宋体" w:eastAsia="宋体" w:cs="宋体"/>
          <w:spacing w:val="-109"/>
          <w:sz w:val="24"/>
          <w:szCs w:val="24"/>
          <w:u w:val="single" w:color="auto"/>
        </w:rPr>
        <w:t xml:space="preserve"> </w:t>
      </w:r>
      <w:r>
        <w:rPr>
          <w:rFonts w:hint="eastAsia" w:ascii="宋体" w:hAnsi="宋体" w:eastAsia="宋体" w:cs="宋体"/>
          <w:spacing w:val="-2"/>
          <w:sz w:val="24"/>
          <w:szCs w:val="24"/>
          <w:u w:val="single" w:color="auto"/>
          <w:lang w:eastAsia="zh-CN"/>
        </w:rPr>
        <w:t>陇漳岷天然气长输管道输配工程（陇漳段）项目</w:t>
      </w:r>
      <w:r>
        <w:rPr>
          <w:rFonts w:hint="eastAsia" w:ascii="宋体" w:hAnsi="宋体" w:eastAsia="宋体" w:cs="宋体"/>
          <w:color w:val="000000"/>
          <w:sz w:val="24"/>
          <w:szCs w:val="24"/>
          <w:u w:val="single"/>
          <w:lang w:val="en-US" w:eastAsia="zh-CN"/>
        </w:rPr>
        <w:t>（Ⅱ标段）</w:t>
      </w:r>
      <w:r>
        <w:rPr>
          <w:rFonts w:hint="eastAsia" w:ascii="宋体" w:hAnsi="宋体" w:eastAsia="宋体" w:cs="宋体"/>
          <w:spacing w:val="-2"/>
          <w:sz w:val="24"/>
          <w:szCs w:val="24"/>
          <w:u w:val="single" w:color="auto"/>
          <w:lang w:val="en-US" w:eastAsia="zh-CN"/>
        </w:rPr>
        <w:t>施工</w:t>
      </w:r>
      <w:r>
        <w:rPr>
          <w:rFonts w:ascii="宋体" w:hAnsi="宋体" w:eastAsia="宋体" w:cs="宋体"/>
          <w:spacing w:val="-2"/>
          <w:sz w:val="24"/>
          <w:szCs w:val="24"/>
          <w:u w:val="single" w:color="auto"/>
        </w:rPr>
        <w:t>劳务分包</w:t>
      </w:r>
      <w:r>
        <w:rPr>
          <w:rFonts w:ascii="宋体" w:hAnsi="宋体" w:eastAsia="宋体" w:cs="宋体"/>
          <w:spacing w:val="-2"/>
          <w:sz w:val="24"/>
          <w:szCs w:val="24"/>
        </w:rPr>
        <w:t>事项协商达成一</w:t>
      </w:r>
      <w:r>
        <w:rPr>
          <w:rFonts w:ascii="宋体" w:hAnsi="宋体" w:eastAsia="宋体" w:cs="宋体"/>
          <w:sz w:val="24"/>
          <w:szCs w:val="24"/>
        </w:rPr>
        <w:t xml:space="preserve"> </w:t>
      </w:r>
      <w:r>
        <w:rPr>
          <w:rFonts w:ascii="宋体" w:hAnsi="宋体" w:eastAsia="宋体" w:cs="宋体"/>
          <w:spacing w:val="-2"/>
          <w:sz w:val="24"/>
          <w:szCs w:val="24"/>
        </w:rPr>
        <w:t>致，订立本合同。</w:t>
      </w:r>
    </w:p>
    <w:p w14:paraId="0F2555CF">
      <w:pPr>
        <w:spacing w:before="36" w:line="219" w:lineRule="auto"/>
        <w:ind w:left="477"/>
        <w:rPr>
          <w:rFonts w:ascii="宋体" w:hAnsi="宋体" w:eastAsia="宋体" w:cs="宋体"/>
          <w:sz w:val="24"/>
          <w:szCs w:val="24"/>
        </w:rPr>
      </w:pPr>
      <w:r>
        <w:rPr>
          <w:rFonts w:ascii="宋体" w:hAnsi="宋体" w:eastAsia="宋体" w:cs="宋体"/>
          <w:b/>
          <w:bCs/>
          <w:spacing w:val="-4"/>
          <w:sz w:val="24"/>
          <w:szCs w:val="24"/>
        </w:rPr>
        <w:t>第一条</w:t>
      </w:r>
      <w:r>
        <w:rPr>
          <w:rFonts w:ascii="宋体" w:hAnsi="宋体" w:eastAsia="宋体" w:cs="宋体"/>
          <w:spacing w:val="83"/>
          <w:sz w:val="24"/>
          <w:szCs w:val="24"/>
        </w:rPr>
        <w:t xml:space="preserve"> </w:t>
      </w:r>
      <w:r>
        <w:rPr>
          <w:rFonts w:ascii="宋体" w:hAnsi="宋体" w:eastAsia="宋体" w:cs="宋体"/>
          <w:b/>
          <w:bCs/>
          <w:spacing w:val="-4"/>
          <w:sz w:val="24"/>
          <w:szCs w:val="24"/>
        </w:rPr>
        <w:t>工程概况、分包范围及内容</w:t>
      </w:r>
    </w:p>
    <w:p w14:paraId="14C26B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 工程概况</w:t>
      </w:r>
    </w:p>
    <w:p w14:paraId="216F80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工程名称：陇漳岷天然气长输管道输配工程（陇漳段）项目（Ⅱ标段）施工劳务分包 。</w:t>
      </w:r>
    </w:p>
    <w:p w14:paraId="4976EC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工程地址： 甘肃省定西市陇西县、漳县</w:t>
      </w:r>
    </w:p>
    <w:p w14:paraId="358541E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 xml:space="preserve">工程简介：陇西末站至漳县分输压气站全长 </w:t>
      </w:r>
      <w:r>
        <w:rPr>
          <w:rFonts w:hint="default" w:ascii="宋体" w:hAnsi="宋体" w:eastAsia="宋体" w:cs="宋体"/>
          <w:snapToGrid/>
          <w:color w:val="000000"/>
          <w:kern w:val="2"/>
          <w:sz w:val="24"/>
          <w:szCs w:val="24"/>
          <w:lang w:val="en-US" w:eastAsia="zh-CN"/>
        </w:rPr>
        <w:t>34km</w:t>
      </w:r>
      <w:r>
        <w:rPr>
          <w:rFonts w:hint="eastAsia" w:ascii="宋体" w:hAnsi="宋体" w:eastAsia="宋体" w:cs="宋体"/>
          <w:snapToGrid/>
          <w:color w:val="000000"/>
          <w:kern w:val="2"/>
          <w:sz w:val="24"/>
          <w:szCs w:val="24"/>
          <w:lang w:val="en-US" w:eastAsia="zh-CN"/>
        </w:rPr>
        <w:t xml:space="preserve">，在陇西县文峰镇桦林 </w:t>
      </w:r>
    </w:p>
    <w:p w14:paraId="6E0ADF6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村新建阀室一座，缠粘一座，设计压力</w:t>
      </w:r>
      <w:r>
        <w:rPr>
          <w:rFonts w:hint="default" w:ascii="宋体" w:hAnsi="宋体" w:eastAsia="宋体" w:cs="宋体"/>
          <w:snapToGrid/>
          <w:color w:val="000000"/>
          <w:kern w:val="2"/>
          <w:sz w:val="24"/>
          <w:szCs w:val="24"/>
          <w:lang w:val="en-US" w:eastAsia="zh-CN"/>
        </w:rPr>
        <w:t>6.3MPa</w:t>
      </w:r>
      <w:r>
        <w:rPr>
          <w:rFonts w:hint="eastAsia" w:ascii="宋体" w:hAnsi="宋体" w:eastAsia="宋体" w:cs="宋体"/>
          <w:snapToGrid/>
          <w:color w:val="000000"/>
          <w:kern w:val="2"/>
          <w:sz w:val="24"/>
          <w:szCs w:val="24"/>
          <w:lang w:val="en-US" w:eastAsia="zh-CN"/>
        </w:rPr>
        <w:t xml:space="preserve">，管径为 </w:t>
      </w:r>
      <w:r>
        <w:rPr>
          <w:rFonts w:hint="default" w:ascii="宋体" w:hAnsi="宋体" w:eastAsia="宋体" w:cs="宋体"/>
          <w:snapToGrid/>
          <w:color w:val="000000"/>
          <w:kern w:val="2"/>
          <w:sz w:val="24"/>
          <w:szCs w:val="24"/>
          <w:lang w:val="en-US" w:eastAsia="zh-CN"/>
        </w:rPr>
        <w:t>323.9mm</w:t>
      </w:r>
      <w:r>
        <w:rPr>
          <w:rFonts w:hint="eastAsia" w:ascii="宋体" w:hAnsi="宋体" w:eastAsia="宋体" w:cs="宋体"/>
          <w:snapToGrid/>
          <w:color w:val="000000"/>
          <w:kern w:val="2"/>
          <w:sz w:val="24"/>
          <w:szCs w:val="24"/>
          <w:lang w:val="en-US" w:eastAsia="zh-CN"/>
        </w:rPr>
        <w:t>。配套工程主要包括自控、供配电、通信、防腐、结构、消防以及水工保护等。</w:t>
      </w:r>
    </w:p>
    <w:p w14:paraId="0BEE4A5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 分包人资质情况</w:t>
      </w:r>
    </w:p>
    <w:p w14:paraId="054F63D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 xml:space="preserve">资质证书号码：                                                发证机关：                                                    资质专业：                                                    复审时间及有效期：                                           </w:t>
      </w:r>
    </w:p>
    <w:p w14:paraId="1FE7261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1.3 分包内容</w:t>
      </w:r>
    </w:p>
    <w:p w14:paraId="316B65F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第二条 提供分包劳务内容：甲方承包工程范围内的桦林阀室至漳县武阳镇柯寨村建设分输压气站之间长输燃气线路的土建工程、工艺管道工程、通信工程、水保工程。土建工程为：测量、放线、修便道、清扫作业带、管沟开挖、非开挖、管道下沟、回填、地质地貌恢复及复垦恢复、管道平衡压袋安装、固定推力支墩制作及安装、三桩一牌安装、定向钻及顶管施工的工作坑和接收坑的开挖及恢复、顶管作业的混凝土管管内填土、两端封堵、征地配合、对外协调等施工内容；工艺管道工程包括：测量、放线、管材的场内倒运、运管、布管、组对、焊接、管道吹扫、试压、通球、干燥、氮气置换；通信工程：穿越工程的镀锌焊接钢管焊接及安装、槽钢保护安装、硅芯管敷设、光纤敷设、一般线路的光纤敷设、光纤接头盒安装、硅芯管端头膨胀塞安装、硅芯管端头护缆塞安装、水泥盖板安装、电子表识器、普通标识器安装、直埋光纤接头坑施工，所有光缆的挑头接线，通信系统的调试；水保工程：草袋水土保持工程施工、粘土夯填截排水渠的施工，以及图纸范围内的除浆砌石水保工程之外的所有水保工程。具体工程内容以建设单位招标文件、设计文件、图纸、工程量清单等文件为准。</w:t>
      </w:r>
    </w:p>
    <w:p w14:paraId="7ACA411E">
      <w:pPr>
        <w:spacing w:before="31" w:line="219" w:lineRule="auto"/>
        <w:ind w:left="459"/>
        <w:rPr>
          <w:rFonts w:ascii="宋体" w:hAnsi="宋体" w:eastAsia="宋体" w:cs="宋体"/>
          <w:sz w:val="24"/>
          <w:szCs w:val="24"/>
        </w:rPr>
      </w:pPr>
      <w:r>
        <w:rPr>
          <w:rFonts w:ascii="宋体" w:hAnsi="宋体" w:eastAsia="宋体" w:cs="宋体"/>
          <w:b/>
          <w:bCs/>
          <w:spacing w:val="-7"/>
          <w:sz w:val="24"/>
          <w:szCs w:val="24"/>
        </w:rPr>
        <w:t>第三条</w:t>
      </w:r>
      <w:r>
        <w:rPr>
          <w:rFonts w:ascii="宋体" w:hAnsi="宋体" w:eastAsia="宋体" w:cs="宋体"/>
          <w:spacing w:val="74"/>
          <w:sz w:val="24"/>
          <w:szCs w:val="24"/>
        </w:rPr>
        <w:t xml:space="preserve"> </w:t>
      </w:r>
      <w:r>
        <w:rPr>
          <w:rFonts w:ascii="宋体" w:hAnsi="宋体" w:eastAsia="宋体" w:cs="宋体"/>
          <w:b/>
          <w:bCs/>
          <w:spacing w:val="-7"/>
          <w:sz w:val="24"/>
          <w:szCs w:val="24"/>
        </w:rPr>
        <w:t>工期</w:t>
      </w:r>
    </w:p>
    <w:p w14:paraId="5B0EF3B8">
      <w:pPr>
        <w:spacing w:before="182" w:line="220" w:lineRule="auto"/>
        <w:ind w:left="464"/>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50"/>
          <w:sz w:val="24"/>
          <w:szCs w:val="24"/>
        </w:rPr>
        <w:t xml:space="preserve"> </w:t>
      </w:r>
      <w:r>
        <w:rPr>
          <w:rFonts w:ascii="宋体" w:hAnsi="宋体" w:eastAsia="宋体" w:cs="宋体"/>
          <w:spacing w:val="-1"/>
          <w:sz w:val="24"/>
          <w:szCs w:val="24"/>
        </w:rPr>
        <w:t>开工日期：</w:t>
      </w:r>
      <w:r>
        <w:rPr>
          <w:rFonts w:ascii="宋体" w:hAnsi="宋体" w:eastAsia="宋体" w:cs="宋体"/>
          <w:spacing w:val="-1"/>
          <w:sz w:val="24"/>
          <w:szCs w:val="24"/>
          <w:u w:val="single" w:color="auto"/>
        </w:rPr>
        <w:t>以甲方实际要求开工日期为</w:t>
      </w:r>
      <w:r>
        <w:rPr>
          <w:rFonts w:ascii="宋体" w:hAnsi="宋体" w:eastAsia="宋体" w:cs="宋体"/>
          <w:spacing w:val="-2"/>
          <w:sz w:val="24"/>
          <w:szCs w:val="24"/>
          <w:u w:val="single" w:color="auto"/>
        </w:rPr>
        <w:t>准</w:t>
      </w:r>
      <w:r>
        <w:rPr>
          <w:rFonts w:ascii="宋体" w:hAnsi="宋体" w:eastAsia="宋体" w:cs="宋体"/>
          <w:spacing w:val="-2"/>
          <w:sz w:val="24"/>
          <w:szCs w:val="24"/>
        </w:rPr>
        <w:t>；</w:t>
      </w:r>
    </w:p>
    <w:p w14:paraId="77034962">
      <w:pPr>
        <w:spacing w:before="180" w:line="219" w:lineRule="auto"/>
        <w:ind w:left="464"/>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9"/>
          <w:sz w:val="24"/>
          <w:szCs w:val="24"/>
        </w:rPr>
        <w:t xml:space="preserve"> </w:t>
      </w:r>
      <w:r>
        <w:rPr>
          <w:rFonts w:ascii="宋体" w:hAnsi="宋体" w:eastAsia="宋体" w:cs="宋体"/>
          <w:spacing w:val="-1"/>
          <w:sz w:val="24"/>
          <w:szCs w:val="24"/>
        </w:rPr>
        <w:t>完工日期：</w:t>
      </w:r>
      <w:r>
        <w:rPr>
          <w:rFonts w:ascii="宋体" w:hAnsi="宋体" w:eastAsia="宋体" w:cs="宋体"/>
          <w:spacing w:val="-1"/>
          <w:sz w:val="24"/>
          <w:szCs w:val="24"/>
          <w:u w:val="single" w:color="auto"/>
        </w:rPr>
        <w:t>以甲方实际确认完工日期</w:t>
      </w:r>
      <w:r>
        <w:rPr>
          <w:rFonts w:ascii="宋体" w:hAnsi="宋体" w:eastAsia="宋体" w:cs="宋体"/>
          <w:spacing w:val="-2"/>
          <w:sz w:val="24"/>
          <w:szCs w:val="24"/>
          <w:u w:val="single" w:color="auto"/>
        </w:rPr>
        <w:t>为准</w:t>
      </w:r>
      <w:r>
        <w:rPr>
          <w:rFonts w:ascii="宋体" w:hAnsi="宋体" w:eastAsia="宋体" w:cs="宋体"/>
          <w:spacing w:val="-2"/>
          <w:sz w:val="24"/>
          <w:szCs w:val="24"/>
        </w:rPr>
        <w:t>；</w:t>
      </w:r>
    </w:p>
    <w:p w14:paraId="0417A739">
      <w:pPr>
        <w:spacing w:before="180" w:line="219" w:lineRule="auto"/>
        <w:ind w:left="464"/>
        <w:rPr>
          <w:rFonts w:ascii="宋体" w:hAnsi="宋体" w:eastAsia="宋体" w:cs="宋体"/>
          <w:sz w:val="24"/>
          <w:szCs w:val="24"/>
        </w:rPr>
      </w:pPr>
      <w:r>
        <w:rPr>
          <w:rFonts w:ascii="宋体" w:hAnsi="宋体" w:eastAsia="宋体" w:cs="宋体"/>
          <w:spacing w:val="-3"/>
          <w:sz w:val="24"/>
          <w:szCs w:val="24"/>
        </w:rPr>
        <w:t>2.3</w:t>
      </w:r>
      <w:r>
        <w:rPr>
          <w:rFonts w:ascii="宋体" w:hAnsi="宋体" w:eastAsia="宋体" w:cs="宋体"/>
          <w:spacing w:val="-34"/>
          <w:sz w:val="24"/>
          <w:szCs w:val="24"/>
        </w:rPr>
        <w:t xml:space="preserve"> </w:t>
      </w:r>
      <w:r>
        <w:rPr>
          <w:rFonts w:ascii="宋体" w:hAnsi="宋体" w:eastAsia="宋体" w:cs="宋体"/>
          <w:spacing w:val="-3"/>
          <w:sz w:val="24"/>
          <w:szCs w:val="24"/>
        </w:rPr>
        <w:t>合同工期总日历天数为：</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天。</w:t>
      </w:r>
    </w:p>
    <w:p w14:paraId="1DE39072">
      <w:pPr>
        <w:spacing w:before="184" w:line="219" w:lineRule="auto"/>
        <w:ind w:left="459"/>
        <w:rPr>
          <w:rFonts w:ascii="宋体" w:hAnsi="宋体" w:eastAsia="宋体" w:cs="宋体"/>
          <w:sz w:val="24"/>
          <w:szCs w:val="24"/>
        </w:rPr>
      </w:pPr>
      <w:r>
        <w:rPr>
          <w:rFonts w:ascii="宋体" w:hAnsi="宋体" w:eastAsia="宋体" w:cs="宋体"/>
          <w:b/>
          <w:bCs/>
          <w:spacing w:val="-5"/>
          <w:sz w:val="24"/>
          <w:szCs w:val="24"/>
        </w:rPr>
        <w:t>第四条</w:t>
      </w:r>
      <w:r>
        <w:rPr>
          <w:rFonts w:ascii="宋体" w:hAnsi="宋体" w:eastAsia="宋体" w:cs="宋体"/>
          <w:spacing w:val="79"/>
          <w:sz w:val="24"/>
          <w:szCs w:val="24"/>
        </w:rPr>
        <w:t xml:space="preserve"> </w:t>
      </w:r>
      <w:r>
        <w:rPr>
          <w:rFonts w:ascii="宋体" w:hAnsi="宋体" w:eastAsia="宋体" w:cs="宋体"/>
          <w:b/>
          <w:bCs/>
          <w:spacing w:val="-5"/>
          <w:sz w:val="24"/>
          <w:szCs w:val="24"/>
        </w:rPr>
        <w:t>工程质量标准</w:t>
      </w:r>
    </w:p>
    <w:p w14:paraId="13A12C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3.1 工程质量：符合现行有效的国家相关标准规范、招标文件、设计图纸及甲方的质量管理体系文件要求，达到 合格 标准。</w:t>
      </w:r>
    </w:p>
    <w:p w14:paraId="1CF738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3.2 其他质量要求： 符合国家、行业现行规范，达到合格要求。具体要求为一次焊接合格率为按拍片合格率为不得低于 96% 。</w:t>
      </w:r>
    </w:p>
    <w:p w14:paraId="05E3595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1）《中华人民共和国安全生产法》主席令第88号，2021年9月1日实施；</w:t>
      </w:r>
    </w:p>
    <w:p w14:paraId="2FA821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2）《中华人民共和国特种设备安全法》主席令第4号，2019年11月1日起施行；</w:t>
      </w:r>
    </w:p>
    <w:p w14:paraId="15D77D7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3）《中华人民共和国消防法》主席令第29号，2019年4月23日起施行；</w:t>
      </w:r>
    </w:p>
    <w:p w14:paraId="37EDF0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4）《中华人民共和国职业病防治法》主席令第52号，2018年12月29日起施行；</w:t>
      </w:r>
    </w:p>
    <w:p w14:paraId="680A3F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5）《中华人民共和国环境保护法》中华人民共和国主席令第9号，2015年1月1日起施行；</w:t>
      </w:r>
    </w:p>
    <w:p w14:paraId="729DA5B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6）《中华人民共和国清洁生产促进法》主席令第54号，2016年7月1日起施行；</w:t>
      </w:r>
    </w:p>
    <w:p w14:paraId="652193B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7）《中华人民共和国水土保持法》主席令第39号，2011年3月1日起施行；</w:t>
      </w:r>
    </w:p>
    <w:p w14:paraId="44D329D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8）《中华人民共和国固体废物污染环境防治法》2016年11月7日修正；</w:t>
      </w:r>
    </w:p>
    <w:p w14:paraId="76CE86A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9）《中华人民共和国水污染防治法》主席令第87号，2018年1月1日起施行；</w:t>
      </w:r>
    </w:p>
    <w:p w14:paraId="58F414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10）《中华人民共和国大气污染防治法》主席令第31号，2016年1月1日起施行；</w:t>
      </w:r>
    </w:p>
    <w:p w14:paraId="329AB3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11）《中华人民共和国环境噪声污染防治法》主席令第24号，2021年12月24日起施行；</w:t>
      </w:r>
    </w:p>
    <w:p w14:paraId="473197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12）《中华人民共和国森林法》主席令第18号，（2019年12年28修订）；</w:t>
      </w:r>
    </w:p>
    <w:p w14:paraId="707634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13）《中华人民共和国突发事件应对法》主席令第69号，2007年11月1日；</w:t>
      </w:r>
    </w:p>
    <w:p w14:paraId="2C647A7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14）《建设项目环境保护管理条例》国务院令第682号，2017年10月1日起施行；</w:t>
      </w:r>
    </w:p>
    <w:p w14:paraId="0016694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15）《中华人民共和国石油天然气管道保护法》主席令第30号，2010年10月1日起施行；</w:t>
      </w:r>
    </w:p>
    <w:p w14:paraId="60B394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16）《公路安全保护条例》国务院令第593条，2011年7月1日起施行；</w:t>
      </w:r>
    </w:p>
    <w:p w14:paraId="269D8CE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17）《关于进一步加强危险化学品建设项目安全设计管理的通知》（安监总管三〔2013〕76号）；</w:t>
      </w:r>
    </w:p>
    <w:p w14:paraId="176D17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18）《危险化学品建设项目安全监督管理办法》国家安全生产监督管理总局令第45号，2015年5月27日第79号修正起施行；</w:t>
      </w:r>
    </w:p>
    <w:p w14:paraId="7BB42DC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19）《危险化学品生产企业安全生产许可证实施办法》国家安全生产监督管理总局第41号令，2011年12月1日起施行；</w:t>
      </w:r>
    </w:p>
    <w:p w14:paraId="7BB341D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20）《</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"http://www.so.com/s?q=%E5%9B%BD%E5%AE%B6%E5%AE%89%E5%85%A8&amp;ie=utf-8&amp;src=internal_wenda_recommend_textn"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国家安全</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监管总局关于公布首批重点监管的危险</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"http://www.so.com/s?q=%E5%8C%96%E5%B7%A5%E5%B7%A5%E8%89%BA&amp;ie=utf-8&amp;src=internal_wenda_recommend_textn"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化工工艺</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"http://www.so.com/s?q=%E7%9B%AE%E5%BD%95&amp;ie=utf-8&amp;src=internal_wenda_recommend_textn"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目录</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的</w:t>
      </w:r>
      <w:r>
        <w:rPr>
          <w:rFonts w:hint="eastAsia" w:ascii="宋体" w:hAnsi="宋体" w:eastAsia="宋体" w:cs="宋体"/>
          <w:snapToGrid/>
          <w:color w:val="000000"/>
          <w:kern w:val="2"/>
          <w:sz w:val="24"/>
          <w:szCs w:val="24"/>
          <w:lang w:val="en-US" w:eastAsia="zh-CN"/>
        </w:rPr>
        <w:fldChar w:fldCharType="begin"/>
      </w:r>
      <w:r>
        <w:rPr>
          <w:rFonts w:hint="eastAsia" w:ascii="宋体" w:hAnsi="宋体" w:eastAsia="宋体" w:cs="宋体"/>
          <w:snapToGrid/>
          <w:color w:val="000000"/>
          <w:kern w:val="2"/>
          <w:sz w:val="24"/>
          <w:szCs w:val="24"/>
          <w:lang w:val="en-US" w:eastAsia="zh-CN"/>
        </w:rPr>
        <w:instrText xml:space="preserve"> HYPERLINK "http://www.so.com/s?q=%E9%80%9A%E7%9F%A5&amp;ie=utf-8&amp;src=internal_wenda_recommend_textn" \t "_blank"</w:instrText>
      </w:r>
      <w:r>
        <w:rPr>
          <w:rFonts w:hint="eastAsia" w:ascii="宋体" w:hAnsi="宋体" w:eastAsia="宋体" w:cs="宋体"/>
          <w:snapToGrid/>
          <w:color w:val="000000"/>
          <w:kern w:val="2"/>
          <w:sz w:val="24"/>
          <w:szCs w:val="24"/>
          <w:lang w:val="en-US" w:eastAsia="zh-CN"/>
        </w:rPr>
        <w:fldChar w:fldCharType="separate"/>
      </w:r>
      <w:r>
        <w:rPr>
          <w:rFonts w:hint="eastAsia" w:ascii="宋体" w:hAnsi="宋体" w:eastAsia="宋体" w:cs="宋体"/>
          <w:snapToGrid/>
          <w:color w:val="000000"/>
          <w:kern w:val="2"/>
          <w:sz w:val="24"/>
          <w:szCs w:val="24"/>
          <w:lang w:val="en-US" w:eastAsia="zh-CN"/>
        </w:rPr>
        <w:t>通知</w:t>
      </w:r>
      <w:r>
        <w:rPr>
          <w:rFonts w:hint="eastAsia" w:ascii="宋体" w:hAnsi="宋体" w:eastAsia="宋体" w:cs="宋体"/>
          <w:snapToGrid/>
          <w:color w:val="000000"/>
          <w:kern w:val="2"/>
          <w:sz w:val="24"/>
          <w:szCs w:val="24"/>
          <w:lang w:val="en-US" w:eastAsia="zh-CN"/>
        </w:rPr>
        <w:fldChar w:fldCharType="end"/>
      </w:r>
      <w:r>
        <w:rPr>
          <w:rFonts w:hint="eastAsia" w:ascii="宋体" w:hAnsi="宋体" w:eastAsia="宋体" w:cs="宋体"/>
          <w:snapToGrid/>
          <w:color w:val="000000"/>
          <w:kern w:val="2"/>
          <w:sz w:val="24"/>
          <w:szCs w:val="24"/>
          <w:lang w:val="en-US" w:eastAsia="zh-CN"/>
        </w:rPr>
        <w:t>》(安监总管三〔2009〕116号）；</w:t>
      </w:r>
    </w:p>
    <w:p w14:paraId="0D7D765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21）《环境保护部建设项目“三同时”监督检查和竣工环保验收管理规程(试行)》环境保护部，2009年12月17日；</w:t>
      </w:r>
    </w:p>
    <w:p w14:paraId="4C7E9C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22）《铁路安全管理条例》国务院令第639号，2014年1月1日；</w:t>
      </w:r>
    </w:p>
    <w:p w14:paraId="5DC3D42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23）《关于处理石油管道和天然气管道与公路相互关系的若干规定（试行）》（78）油化管道字452号文，1978年5月22日；</w:t>
      </w:r>
    </w:p>
    <w:p w14:paraId="549CFA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24）《油气输送管道与铁路交汇工程技术及管理规定》国能油气﹝2015﹞392号，2018年9月7日。</w:t>
      </w:r>
    </w:p>
    <w:p w14:paraId="33F2496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25）其他相关现行规范。</w:t>
      </w:r>
    </w:p>
    <w:p w14:paraId="107F0233">
      <w:pPr>
        <w:spacing w:before="183" w:line="219" w:lineRule="auto"/>
        <w:ind w:left="477"/>
        <w:rPr>
          <w:rFonts w:ascii="宋体" w:hAnsi="宋体" w:eastAsia="宋体" w:cs="宋体"/>
          <w:sz w:val="24"/>
          <w:szCs w:val="24"/>
        </w:rPr>
      </w:pPr>
      <w:r>
        <w:rPr>
          <w:rFonts w:ascii="宋体" w:hAnsi="宋体" w:eastAsia="宋体" w:cs="宋体"/>
          <w:b/>
          <w:bCs/>
          <w:spacing w:val="-4"/>
          <w:sz w:val="24"/>
          <w:szCs w:val="24"/>
        </w:rPr>
        <w:t>第五条</w:t>
      </w:r>
      <w:r>
        <w:rPr>
          <w:rFonts w:ascii="宋体" w:hAnsi="宋体" w:eastAsia="宋体" w:cs="宋体"/>
          <w:spacing w:val="76"/>
          <w:sz w:val="24"/>
          <w:szCs w:val="24"/>
        </w:rPr>
        <w:t xml:space="preserve"> </w:t>
      </w:r>
      <w:r>
        <w:rPr>
          <w:rFonts w:ascii="宋体" w:hAnsi="宋体" w:eastAsia="宋体" w:cs="宋体"/>
          <w:b/>
          <w:bCs/>
          <w:spacing w:val="-4"/>
          <w:sz w:val="24"/>
          <w:szCs w:val="24"/>
        </w:rPr>
        <w:t>双方一般权利和义务</w:t>
      </w:r>
    </w:p>
    <w:p w14:paraId="69D96E5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4.1 双方驻工地代表</w:t>
      </w:r>
    </w:p>
    <w:p w14:paraId="29B63A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4.1.1 甲方委派的担任驻工地履行本合同的代表为   付绍平  ，身份证： 640203199101081517 ，电话：  18609873951  。</w:t>
      </w:r>
    </w:p>
    <w:p w14:paraId="2A8AA65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4.1.2 乙方委派的担任驻工地履行本合同的现场负责人为               ， 执业资格证书：                     ， 身份证：                     ， 电 话：                。</w:t>
      </w:r>
    </w:p>
    <w:p w14:paraId="7847B4D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4.1.3 乙方委派的担任驻工地履行本合同的技术负责人为              ， 执业资格证书：                     ， 身份证：                     ， 电 话：                。</w:t>
      </w:r>
    </w:p>
    <w:p w14:paraId="6D2055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4.1.4  乙 方 委 派 的 担 任 驻 工 地 履 行 本 合 同 的 安 全 负 责 人 为                      ， 执 业 资 格 证 书 ：                      ， 身 份 证：                ，电话：                 。</w:t>
      </w:r>
    </w:p>
    <w:p w14:paraId="2384DFC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 甲方义务</w:t>
      </w:r>
    </w:p>
    <w:p w14:paraId="5659401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4.2.1 统筹安排、协调解决非乙方独立使用的生产、生活临时设施、工作用水、用电及施工场地。负责整个施工场地的管理工作，协调乙方与同一施工场地内的其它施工单位之间的交叉配合。</w:t>
      </w:r>
    </w:p>
    <w:p w14:paraId="439E9D8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4.2.2 甲方应在劳务分包工作开工 5 天前，向乙方提供纸质版/电子版图纸， 乙方根据需求进行复印/打印。</w:t>
      </w:r>
    </w:p>
    <w:p w14:paraId="0EE6162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4.2.3 甲方为本分包工程实施提供的材料、机械设备和其他设施（如有时）， 见附表 1。</w:t>
      </w:r>
    </w:p>
    <w:p w14:paraId="400B65E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4.2.4 按本合同约定，向乙方支付合同价款。</w:t>
      </w:r>
    </w:p>
    <w:p w14:paraId="1CC9B06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4.2.5 负责与建设单位、监理、设计及有关部门联系，协调现场工作关系。</w:t>
      </w:r>
    </w:p>
    <w:p w14:paraId="05E932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4.2.6 监督乙方发放工人工资。甲方认为必要时，可由乙方造册，甲方代付。</w:t>
      </w:r>
    </w:p>
    <w:p w14:paraId="53EA3A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4.2.7 双方约定甲方应做的其他工作：       /        。</w:t>
      </w:r>
    </w:p>
    <w:p w14:paraId="7EC486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 乙方义务</w:t>
      </w:r>
    </w:p>
    <w:p w14:paraId="3F0117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4.3.1 乙方应在进场三日前，将其所有拟进场人员登记造册并加盖公章，报 甲方备案。在施工过程中，乙方如变更现场人员，须及时更新人员名单，并在三 日内将更新的人员名单加盖公章，报甲方确认。</w:t>
      </w:r>
    </w:p>
    <w:p w14:paraId="7D9640D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4.3.2 乙方应科学安排作业计划，投入足够的人力、物力，保证工期。根据 施工组织设计总进度计划的要求，每月 30 日前提交下月施工计划。必要时按甲 方要求提交旬、周施工计划，以及完成上述施工计划相应的劳动力安排计划，经 甲方批准后严格实施。乙方不能按甲方批准的进度计划施工时，应根据甲方的要 求提交一份修订的进度计划，以保证分包工程按期完工。</w:t>
      </w:r>
    </w:p>
    <w:p w14:paraId="45E5462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4.3.3 对本合同范围内的工程质量向甲方负责，严格按照设计图纸、施工验 收规范、相关技术要求及施工组织设计精心组织施工，确保工程质量达到合同约 定的标准。</w:t>
      </w:r>
    </w:p>
    <w:p w14:paraId="5A1A44B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4.3.4 加强安全教育，认真执行安全技术规范，严格遵守安全制度，落实安 全措施，确保施工安全。加强现场管理，严格执行建设主管部门及环保、消防、 环卫等有关部门对施工现场的管理规定，做到文明施工。</w:t>
      </w:r>
    </w:p>
    <w:p w14:paraId="32A9470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4.3.5 自觉接受甲方及有关部门的管理、监督和检查。接受甲方随时检查其 设备及材料的保管、使用情况，及其操作人员的有效证件、持证上岗情况。</w:t>
      </w:r>
    </w:p>
    <w:p w14:paraId="7D8ADBC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4.3.6 按甲方统一规划堆放材料、机具，按甲方标准化工地要求设置标牌，做好生活区的管理，做好自身责任区的治安保卫工作。</w:t>
      </w:r>
    </w:p>
    <w:p w14:paraId="55949C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4.3.7 做好施工场地周围建筑物、构筑物、地下管线和已完工程部分的成品 保护工作。妥善保管、合理使用甲方提供或租赁给乙方使用的机具、周转材料及 其他设施。</w:t>
      </w:r>
    </w:p>
    <w:p w14:paraId="24091D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4.3.8 乙方应组织具有相应资格证书的熟练工人投入工作，并与其聘用的人 员签订劳动合同并报甲方备案，在劳动合同约定的工资发放日后 1 周内，向甲方 提交其工资发放表进行备案。</w:t>
      </w:r>
    </w:p>
    <w:p w14:paraId="1E2378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4.3.9 按时提交报表及完整的原始技术、经济资料，配合甲方办理交工验收。</w:t>
      </w:r>
    </w:p>
    <w:p w14:paraId="7682B60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4.3.10 乙方场站及线路施工单位严禁超挖超占、私自改线等，因乙方超挖超 占、私自改线造成行政处罚及经济处罚等后果由乙方自行承担。</w:t>
      </w:r>
    </w:p>
    <w:p w14:paraId="0CD5699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4.3.11 乙方在施工过程中，如质量、安全、进度不能满足项目部及业主的要 求，甲方有权要求乙方撤场并解除合同。</w:t>
      </w:r>
    </w:p>
    <w:p w14:paraId="4ED452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4.3.12 乙方要派本企业有资质的项目经理、技术负责人、安全员建立项目部， 履行项目管理职能。主要管理人员不到位，每次每人处罚 10000 元。</w:t>
      </w:r>
    </w:p>
    <w:p w14:paraId="6977C1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4.3.13 分包方负责协调解决征迁赔偿完成后村民阻工、村民及乡镇干预施工 内容等不可预见事件，因以上事件造成的停窝工损失由乙方承担。</w:t>
      </w:r>
    </w:p>
    <w:p w14:paraId="144411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4.3.14 双方约定乙方应做的其它工作：  /   。</w:t>
      </w:r>
    </w:p>
    <w:p w14:paraId="66DFD358">
      <w:pPr>
        <w:spacing w:before="183" w:line="218" w:lineRule="auto"/>
        <w:ind w:left="476"/>
        <w:rPr>
          <w:rFonts w:ascii="宋体" w:hAnsi="宋体" w:eastAsia="宋体" w:cs="宋体"/>
          <w:sz w:val="24"/>
          <w:szCs w:val="24"/>
        </w:rPr>
      </w:pPr>
      <w:r>
        <w:rPr>
          <w:rFonts w:ascii="宋体" w:hAnsi="宋体" w:eastAsia="宋体" w:cs="宋体"/>
          <w:b/>
          <w:bCs/>
          <w:spacing w:val="-3"/>
          <w:sz w:val="24"/>
          <w:szCs w:val="24"/>
        </w:rPr>
        <w:t>第六条</w:t>
      </w:r>
      <w:r>
        <w:rPr>
          <w:rFonts w:ascii="宋体" w:hAnsi="宋体" w:eastAsia="宋体" w:cs="宋体"/>
          <w:spacing w:val="72"/>
          <w:sz w:val="24"/>
          <w:szCs w:val="24"/>
        </w:rPr>
        <w:t xml:space="preserve"> </w:t>
      </w:r>
      <w:r>
        <w:rPr>
          <w:rFonts w:ascii="宋体" w:hAnsi="宋体" w:eastAsia="宋体" w:cs="宋体"/>
          <w:b/>
          <w:bCs/>
          <w:spacing w:val="-3"/>
          <w:sz w:val="24"/>
          <w:szCs w:val="24"/>
        </w:rPr>
        <w:t>合同价款计价方式、结算和支付</w:t>
      </w:r>
    </w:p>
    <w:p w14:paraId="06D4C1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5.1 本工程的合同价款采用以下第（2）种方式确定。</w:t>
      </w:r>
    </w:p>
    <w:p w14:paraId="753393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（1）固定总价合同，除设计变更或工程签证外合同价款不做调整；</w:t>
      </w:r>
    </w:p>
    <w:p w14:paraId="6CA1881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（2）固定综合单价合同，工程量按发包方对甲方确认的工程量计量，综合单价按照合同工程量清单单价约定执行。</w:t>
      </w:r>
    </w:p>
    <w:p w14:paraId="0FDA65D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5.2 合同工程量清单单价明细表如下：</w:t>
      </w:r>
    </w:p>
    <w:p w14:paraId="2E8839A3">
      <w:pPr>
        <w:pStyle w:val="2"/>
        <w:ind w:left="0" w:leftChars="0" w:firstLine="0" w:firstLineChars="0"/>
        <w:jc w:val="center"/>
        <w:rPr>
          <w:rFonts w:ascii="宋体" w:hAnsi="宋体" w:eastAsia="宋体" w:cs="宋体"/>
          <w:b/>
          <w:bCs/>
          <w:sz w:val="28"/>
          <w:szCs w:val="28"/>
        </w:rPr>
      </w:pPr>
      <w:r>
        <w:rPr>
          <w:rFonts w:ascii="宋体" w:hAnsi="宋体" w:eastAsia="宋体" w:cs="宋体"/>
          <w:b/>
          <w:bCs/>
          <w:spacing w:val="-2"/>
          <w:sz w:val="28"/>
          <w:szCs w:val="28"/>
        </w:rPr>
        <w:t>工程量清单</w:t>
      </w:r>
      <w:r>
        <w:rPr>
          <w:rFonts w:hint="eastAsia" w:ascii="宋体" w:hAnsi="宋体" w:eastAsia="宋体" w:cs="宋体"/>
          <w:b/>
          <w:bCs/>
          <w:spacing w:val="-2"/>
          <w:sz w:val="28"/>
          <w:szCs w:val="28"/>
          <w:lang w:val="en-US" w:eastAsia="zh-CN"/>
        </w:rPr>
        <w:t>单价明细表</w:t>
      </w:r>
    </w:p>
    <w:tbl>
      <w:tblPr>
        <w:tblStyle w:val="7"/>
        <w:tblW w:w="9730"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92"/>
        <w:gridCol w:w="3156"/>
        <w:gridCol w:w="700"/>
        <w:gridCol w:w="937"/>
        <w:gridCol w:w="1200"/>
        <w:gridCol w:w="882"/>
        <w:gridCol w:w="963"/>
      </w:tblGrid>
      <w:tr w14:paraId="33A3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00" w:type="dxa"/>
            <w:noWrap w:val="0"/>
            <w:vAlign w:val="center"/>
          </w:tcPr>
          <w:p w14:paraId="33468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92" w:type="dxa"/>
            <w:noWrap w:val="0"/>
            <w:vAlign w:val="center"/>
          </w:tcPr>
          <w:p w14:paraId="28D3C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分项工程名称</w:t>
            </w:r>
          </w:p>
        </w:tc>
        <w:tc>
          <w:tcPr>
            <w:tcW w:w="3156" w:type="dxa"/>
            <w:noWrap w:val="0"/>
            <w:vAlign w:val="center"/>
          </w:tcPr>
          <w:p w14:paraId="012E7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noWrap w:val="0"/>
            <w:vAlign w:val="center"/>
          </w:tcPr>
          <w:p w14:paraId="3D7CC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937" w:type="dxa"/>
            <w:noWrap w:val="0"/>
            <w:vAlign w:val="center"/>
          </w:tcPr>
          <w:p w14:paraId="024C2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数量  </w:t>
            </w:r>
            <w:r>
              <w:rPr>
                <w:rFonts w:hint="eastAsia" w:ascii="宋体" w:hAnsi="宋体" w:eastAsia="宋体" w:cs="宋体"/>
                <w:i w:val="0"/>
                <w:iCs w:val="0"/>
                <w:color w:val="000000"/>
                <w:w w:val="90"/>
                <w:kern w:val="0"/>
                <w:sz w:val="21"/>
                <w:szCs w:val="21"/>
                <w:u w:val="none"/>
                <w:lang w:val="en-US" w:eastAsia="zh-CN" w:bidi="ar"/>
              </w:rPr>
              <w:t>(暂定)</w:t>
            </w:r>
          </w:p>
        </w:tc>
        <w:tc>
          <w:tcPr>
            <w:tcW w:w="1200" w:type="dxa"/>
            <w:noWrap w:val="0"/>
            <w:vAlign w:val="center"/>
          </w:tcPr>
          <w:p w14:paraId="3577E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882" w:type="dxa"/>
            <w:noWrap w:val="0"/>
            <w:vAlign w:val="center"/>
          </w:tcPr>
          <w:p w14:paraId="69A315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合价</w:t>
            </w:r>
          </w:p>
          <w:p w14:paraId="2C42E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963" w:type="dxa"/>
            <w:noWrap w:val="0"/>
            <w:vAlign w:val="center"/>
          </w:tcPr>
          <w:p w14:paraId="1F797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F67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0" w:type="dxa"/>
            <w:noWrap w:val="0"/>
            <w:vAlign w:val="center"/>
          </w:tcPr>
          <w:p w14:paraId="170543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92" w:type="dxa"/>
            <w:noWrap w:val="0"/>
            <w:vAlign w:val="center"/>
          </w:tcPr>
          <w:p w14:paraId="141CB0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3156" w:type="dxa"/>
            <w:noWrap w:val="0"/>
            <w:vAlign w:val="center"/>
          </w:tcPr>
          <w:p w14:paraId="5DDDD0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2714B7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38B2BC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1EC57B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55AA9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66F052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47079C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700" w:type="dxa"/>
            <w:noWrap w:val="0"/>
            <w:vAlign w:val="center"/>
          </w:tcPr>
          <w:p w14:paraId="346081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D7261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7A87E2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5EE4C3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1E71F233">
            <w:pPr>
              <w:jc w:val="center"/>
              <w:rPr>
                <w:rFonts w:hint="eastAsia" w:ascii="宋体" w:hAnsi="宋体" w:eastAsia="宋体" w:cs="宋体"/>
                <w:i w:val="0"/>
                <w:iCs w:val="0"/>
                <w:color w:val="000000"/>
                <w:sz w:val="24"/>
                <w:szCs w:val="24"/>
                <w:u w:val="none"/>
              </w:rPr>
            </w:pPr>
          </w:p>
        </w:tc>
      </w:tr>
      <w:tr w14:paraId="4815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0" w:type="dxa"/>
            <w:noWrap w:val="0"/>
            <w:vAlign w:val="center"/>
          </w:tcPr>
          <w:p w14:paraId="54FC6F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92" w:type="dxa"/>
            <w:noWrap w:val="0"/>
            <w:vAlign w:val="center"/>
          </w:tcPr>
          <w:p w14:paraId="1B38FC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3156" w:type="dxa"/>
            <w:noWrap w:val="0"/>
            <w:vAlign w:val="center"/>
          </w:tcPr>
          <w:p w14:paraId="1743A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2A5065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0A5E4A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680FC4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2F6694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025B93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6A6C13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700" w:type="dxa"/>
            <w:noWrap w:val="0"/>
            <w:vAlign w:val="center"/>
          </w:tcPr>
          <w:p w14:paraId="0F9EEF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32429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0600D9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6569DC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2AFB6665">
            <w:pPr>
              <w:jc w:val="center"/>
              <w:rPr>
                <w:rFonts w:hint="eastAsia" w:ascii="宋体" w:hAnsi="宋体" w:eastAsia="宋体" w:cs="宋体"/>
                <w:i w:val="0"/>
                <w:iCs w:val="0"/>
                <w:color w:val="000000"/>
                <w:sz w:val="24"/>
                <w:szCs w:val="24"/>
                <w:u w:val="none"/>
              </w:rPr>
            </w:pPr>
          </w:p>
        </w:tc>
      </w:tr>
      <w:tr w14:paraId="4C76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0" w:type="dxa"/>
            <w:noWrap w:val="0"/>
            <w:vAlign w:val="center"/>
          </w:tcPr>
          <w:p w14:paraId="3481E3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92" w:type="dxa"/>
            <w:noWrap w:val="0"/>
            <w:vAlign w:val="center"/>
          </w:tcPr>
          <w:p w14:paraId="051CCF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3156" w:type="dxa"/>
            <w:noWrap w:val="0"/>
            <w:vAlign w:val="center"/>
          </w:tcPr>
          <w:p w14:paraId="7836F1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562C8C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6058EC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4B7060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0EC5F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3B66C5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700" w:type="dxa"/>
            <w:noWrap w:val="0"/>
            <w:vAlign w:val="center"/>
          </w:tcPr>
          <w:p w14:paraId="26D921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A826B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3D37AA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64656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510C4BA0">
            <w:pPr>
              <w:jc w:val="center"/>
              <w:rPr>
                <w:rFonts w:hint="eastAsia" w:ascii="宋体" w:hAnsi="宋体" w:eastAsia="宋体" w:cs="宋体"/>
                <w:i w:val="0"/>
                <w:iCs w:val="0"/>
                <w:color w:val="000000"/>
                <w:sz w:val="24"/>
                <w:szCs w:val="24"/>
                <w:u w:val="none"/>
              </w:rPr>
            </w:pPr>
          </w:p>
        </w:tc>
      </w:tr>
      <w:tr w14:paraId="3864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C81A6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92" w:type="dxa"/>
            <w:noWrap w:val="0"/>
            <w:vAlign w:val="center"/>
          </w:tcPr>
          <w:p w14:paraId="0B59FD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3156" w:type="dxa"/>
            <w:noWrap w:val="0"/>
            <w:vAlign w:val="center"/>
          </w:tcPr>
          <w:p w14:paraId="7BE83A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6ED40D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7AA3E5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23CC26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2FCD6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49B6CF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545F65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7B4EDF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6F05E2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700" w:type="dxa"/>
            <w:noWrap w:val="0"/>
            <w:vAlign w:val="center"/>
          </w:tcPr>
          <w:p w14:paraId="1FCC47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6CE8C6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451987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2F1343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37E1DA2A">
            <w:pPr>
              <w:jc w:val="center"/>
              <w:rPr>
                <w:rFonts w:hint="eastAsia" w:ascii="宋体" w:hAnsi="宋体" w:eastAsia="宋体" w:cs="宋体"/>
                <w:i w:val="0"/>
                <w:iCs w:val="0"/>
                <w:color w:val="000000"/>
                <w:sz w:val="24"/>
                <w:szCs w:val="24"/>
                <w:u w:val="none"/>
              </w:rPr>
            </w:pPr>
          </w:p>
        </w:tc>
      </w:tr>
      <w:tr w14:paraId="13E6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BF730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92" w:type="dxa"/>
            <w:noWrap w:val="0"/>
            <w:vAlign w:val="center"/>
          </w:tcPr>
          <w:p w14:paraId="185D94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3156" w:type="dxa"/>
            <w:noWrap w:val="0"/>
            <w:vAlign w:val="center"/>
          </w:tcPr>
          <w:p w14:paraId="7120F1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7E2DA2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[施工部位]：G148-G160、G176-G184、G195-G262之间桩号</w:t>
            </w:r>
          </w:p>
          <w:p w14:paraId="704F73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40F340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1DE71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5CB33A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6B0443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700" w:type="dxa"/>
            <w:noWrap w:val="0"/>
            <w:vAlign w:val="center"/>
          </w:tcPr>
          <w:p w14:paraId="5D5E50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7CDF97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214B40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55BC3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01605F93">
            <w:pPr>
              <w:jc w:val="center"/>
              <w:rPr>
                <w:rFonts w:hint="eastAsia" w:ascii="宋体" w:hAnsi="宋体" w:eastAsia="宋体" w:cs="宋体"/>
                <w:i w:val="0"/>
                <w:iCs w:val="0"/>
                <w:color w:val="000000"/>
                <w:sz w:val="24"/>
                <w:szCs w:val="24"/>
                <w:u w:val="none"/>
              </w:rPr>
            </w:pPr>
          </w:p>
        </w:tc>
      </w:tr>
      <w:tr w14:paraId="162F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21946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92" w:type="dxa"/>
            <w:noWrap w:val="0"/>
            <w:vAlign w:val="center"/>
          </w:tcPr>
          <w:p w14:paraId="4DEB93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3156" w:type="dxa"/>
            <w:noWrap w:val="0"/>
            <w:vAlign w:val="center"/>
          </w:tcPr>
          <w:p w14:paraId="3DAAEE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021D8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1EB72E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0AFA7E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280895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600057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700" w:type="dxa"/>
            <w:noWrap w:val="0"/>
            <w:vAlign w:val="center"/>
          </w:tcPr>
          <w:p w14:paraId="7B1EF7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D7827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075E4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1C8868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4D871790">
            <w:pPr>
              <w:jc w:val="center"/>
              <w:rPr>
                <w:rFonts w:hint="eastAsia" w:ascii="宋体" w:hAnsi="宋体" w:eastAsia="宋体" w:cs="宋体"/>
                <w:i w:val="0"/>
                <w:iCs w:val="0"/>
                <w:color w:val="000000"/>
                <w:sz w:val="24"/>
                <w:szCs w:val="24"/>
                <w:u w:val="none"/>
              </w:rPr>
            </w:pPr>
          </w:p>
        </w:tc>
      </w:tr>
      <w:tr w14:paraId="78BC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2450D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192" w:type="dxa"/>
            <w:noWrap w:val="0"/>
            <w:vAlign w:val="center"/>
          </w:tcPr>
          <w:p w14:paraId="7DC400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3156" w:type="dxa"/>
            <w:noWrap w:val="0"/>
            <w:vAlign w:val="center"/>
          </w:tcPr>
          <w:p w14:paraId="2DFDB6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37D4BE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5AAFD6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68EB9D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2DF2E9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01645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700" w:type="dxa"/>
            <w:noWrap w:val="0"/>
            <w:vAlign w:val="center"/>
          </w:tcPr>
          <w:p w14:paraId="111E9A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BF232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17107D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3F3A2D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4C6C265A">
            <w:pPr>
              <w:jc w:val="center"/>
              <w:rPr>
                <w:rFonts w:hint="eastAsia" w:ascii="宋体" w:hAnsi="宋体" w:eastAsia="宋体" w:cs="宋体"/>
                <w:i w:val="0"/>
                <w:iCs w:val="0"/>
                <w:color w:val="000000"/>
                <w:sz w:val="24"/>
                <w:szCs w:val="24"/>
                <w:u w:val="none"/>
              </w:rPr>
            </w:pPr>
          </w:p>
        </w:tc>
      </w:tr>
      <w:tr w14:paraId="7DC8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noWrap w:val="0"/>
            <w:vAlign w:val="center"/>
          </w:tcPr>
          <w:p w14:paraId="733BB1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192" w:type="dxa"/>
            <w:noWrap w:val="0"/>
            <w:vAlign w:val="center"/>
          </w:tcPr>
          <w:p w14:paraId="10D54F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3156" w:type="dxa"/>
            <w:noWrap w:val="0"/>
            <w:vAlign w:val="center"/>
          </w:tcPr>
          <w:p w14:paraId="3BB8D7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5A68E6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701477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2CC4D7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CD07A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700" w:type="dxa"/>
            <w:noWrap w:val="0"/>
            <w:vAlign w:val="center"/>
          </w:tcPr>
          <w:p w14:paraId="2A9A37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7CDF22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571FBA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52F4C9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3573F487">
            <w:pPr>
              <w:jc w:val="center"/>
              <w:rPr>
                <w:rFonts w:hint="eastAsia" w:ascii="宋体" w:hAnsi="宋体" w:eastAsia="宋体" w:cs="宋体"/>
                <w:i w:val="0"/>
                <w:iCs w:val="0"/>
                <w:color w:val="000000"/>
                <w:sz w:val="24"/>
                <w:szCs w:val="24"/>
                <w:u w:val="none"/>
              </w:rPr>
            </w:pPr>
          </w:p>
        </w:tc>
      </w:tr>
      <w:tr w14:paraId="11E2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88AB2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192" w:type="dxa"/>
            <w:noWrap w:val="0"/>
            <w:vAlign w:val="center"/>
          </w:tcPr>
          <w:p w14:paraId="73E209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3156" w:type="dxa"/>
            <w:noWrap w:val="0"/>
            <w:vAlign w:val="center"/>
          </w:tcPr>
          <w:p w14:paraId="684CFF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37C82E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6EB1D7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222CD7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A8FDE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1.清管、测径、试压、干燥。</w:t>
            </w:r>
          </w:p>
        </w:tc>
        <w:tc>
          <w:tcPr>
            <w:tcW w:w="700" w:type="dxa"/>
            <w:noWrap w:val="0"/>
            <w:vAlign w:val="center"/>
          </w:tcPr>
          <w:p w14:paraId="10D64F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C6651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28B866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095B4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494CFB92">
            <w:pPr>
              <w:jc w:val="center"/>
              <w:rPr>
                <w:rFonts w:hint="eastAsia" w:ascii="宋体" w:hAnsi="宋体" w:eastAsia="宋体" w:cs="宋体"/>
                <w:i w:val="0"/>
                <w:iCs w:val="0"/>
                <w:color w:val="000000"/>
                <w:sz w:val="24"/>
                <w:szCs w:val="24"/>
                <w:u w:val="none"/>
              </w:rPr>
            </w:pPr>
          </w:p>
        </w:tc>
      </w:tr>
      <w:tr w14:paraId="185C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6D1701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92" w:type="dxa"/>
            <w:noWrap w:val="0"/>
            <w:vAlign w:val="center"/>
          </w:tcPr>
          <w:p w14:paraId="256049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3156" w:type="dxa"/>
            <w:noWrap w:val="0"/>
            <w:vAlign w:val="center"/>
          </w:tcPr>
          <w:p w14:paraId="7311E5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7B6800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0CE346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3D2269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1E14C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700" w:type="dxa"/>
            <w:noWrap w:val="0"/>
            <w:vAlign w:val="center"/>
          </w:tcPr>
          <w:p w14:paraId="5EADB4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1E560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06A50A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3EFC4D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1A14532A">
            <w:pPr>
              <w:jc w:val="center"/>
              <w:rPr>
                <w:rFonts w:hint="eastAsia" w:ascii="宋体" w:hAnsi="宋体" w:eastAsia="宋体" w:cs="宋体"/>
                <w:i w:val="0"/>
                <w:iCs w:val="0"/>
                <w:color w:val="000000"/>
                <w:sz w:val="24"/>
                <w:szCs w:val="24"/>
                <w:u w:val="none"/>
              </w:rPr>
            </w:pPr>
          </w:p>
        </w:tc>
      </w:tr>
      <w:tr w14:paraId="6024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B55A4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192" w:type="dxa"/>
            <w:noWrap w:val="0"/>
            <w:vAlign w:val="center"/>
          </w:tcPr>
          <w:p w14:paraId="04F4A7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3156" w:type="dxa"/>
            <w:noWrap w:val="0"/>
            <w:vAlign w:val="center"/>
          </w:tcPr>
          <w:p w14:paraId="78AC0D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62A35F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[施工部位]：G142-G148、G160-G176、G184-G195桩号之间</w:t>
            </w:r>
          </w:p>
          <w:p w14:paraId="044F30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32D22C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FE23E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5B66E7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372BC7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700" w:type="dxa"/>
            <w:noWrap w:val="0"/>
            <w:vAlign w:val="center"/>
          </w:tcPr>
          <w:p w14:paraId="113375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19FE4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6C2BC6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1C0D15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7F379A43">
            <w:pPr>
              <w:jc w:val="center"/>
              <w:rPr>
                <w:rFonts w:hint="eastAsia" w:ascii="宋体" w:hAnsi="宋体" w:eastAsia="宋体" w:cs="宋体"/>
                <w:i w:val="0"/>
                <w:iCs w:val="0"/>
                <w:color w:val="000000"/>
                <w:sz w:val="24"/>
                <w:szCs w:val="24"/>
                <w:u w:val="none"/>
              </w:rPr>
            </w:pPr>
          </w:p>
        </w:tc>
      </w:tr>
      <w:tr w14:paraId="64C1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16966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192" w:type="dxa"/>
            <w:noWrap w:val="0"/>
            <w:vAlign w:val="center"/>
          </w:tcPr>
          <w:p w14:paraId="3FFD97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3156" w:type="dxa"/>
            <w:noWrap w:val="0"/>
            <w:vAlign w:val="center"/>
          </w:tcPr>
          <w:p w14:paraId="5B383E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149202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[施工部位]：G142-G148、G160-G176、G184-G195桩号之间</w:t>
            </w:r>
          </w:p>
          <w:p w14:paraId="13FB88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45F14E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80AC6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6BB40E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799863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700" w:type="dxa"/>
            <w:noWrap w:val="0"/>
            <w:vAlign w:val="center"/>
          </w:tcPr>
          <w:p w14:paraId="5F5CA7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15FC5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0432BF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190047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6ABEDA0F">
            <w:pPr>
              <w:jc w:val="center"/>
              <w:rPr>
                <w:rFonts w:hint="eastAsia" w:ascii="宋体" w:hAnsi="宋体" w:eastAsia="宋体" w:cs="宋体"/>
                <w:i w:val="0"/>
                <w:iCs w:val="0"/>
                <w:color w:val="000000"/>
                <w:sz w:val="24"/>
                <w:szCs w:val="24"/>
                <w:u w:val="none"/>
              </w:rPr>
            </w:pPr>
          </w:p>
        </w:tc>
      </w:tr>
      <w:tr w14:paraId="667D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3FABD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92" w:type="dxa"/>
            <w:noWrap w:val="0"/>
            <w:vAlign w:val="center"/>
          </w:tcPr>
          <w:p w14:paraId="75A693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3156" w:type="dxa"/>
            <w:noWrap w:val="0"/>
            <w:vAlign w:val="center"/>
          </w:tcPr>
          <w:p w14:paraId="118CEB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5F6066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7ED4BD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094938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5A937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67211F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700" w:type="dxa"/>
            <w:noWrap w:val="0"/>
            <w:vAlign w:val="center"/>
          </w:tcPr>
          <w:p w14:paraId="2A8F5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4C2167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4F0C82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A074E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46E1FA3A">
            <w:pPr>
              <w:jc w:val="center"/>
              <w:rPr>
                <w:rFonts w:hint="eastAsia" w:ascii="宋体" w:hAnsi="宋体" w:eastAsia="宋体" w:cs="宋体"/>
                <w:i w:val="0"/>
                <w:iCs w:val="0"/>
                <w:color w:val="000000"/>
                <w:sz w:val="24"/>
                <w:szCs w:val="24"/>
                <w:u w:val="none"/>
              </w:rPr>
            </w:pPr>
          </w:p>
        </w:tc>
      </w:tr>
      <w:tr w14:paraId="1D32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857C6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192" w:type="dxa"/>
            <w:noWrap w:val="0"/>
            <w:vAlign w:val="center"/>
          </w:tcPr>
          <w:p w14:paraId="79FDB8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3156" w:type="dxa"/>
            <w:noWrap w:val="0"/>
            <w:vAlign w:val="center"/>
          </w:tcPr>
          <w:p w14:paraId="57D95D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1456EC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0FF635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38687F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12777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269BF6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201A16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559F18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30BAB0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700" w:type="dxa"/>
            <w:noWrap w:val="0"/>
            <w:vAlign w:val="center"/>
          </w:tcPr>
          <w:p w14:paraId="650F9C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175048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5195D3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19D391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2F2E5B84">
            <w:pPr>
              <w:jc w:val="center"/>
              <w:rPr>
                <w:rFonts w:hint="eastAsia" w:ascii="宋体" w:hAnsi="宋体" w:eastAsia="宋体" w:cs="宋体"/>
                <w:i w:val="0"/>
                <w:iCs w:val="0"/>
                <w:color w:val="000000"/>
                <w:sz w:val="24"/>
                <w:szCs w:val="24"/>
                <w:u w:val="none"/>
              </w:rPr>
            </w:pPr>
          </w:p>
        </w:tc>
      </w:tr>
      <w:tr w14:paraId="2313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87880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92" w:type="dxa"/>
            <w:noWrap w:val="0"/>
            <w:vAlign w:val="center"/>
          </w:tcPr>
          <w:p w14:paraId="7F991C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3156" w:type="dxa"/>
            <w:noWrap w:val="0"/>
            <w:vAlign w:val="center"/>
          </w:tcPr>
          <w:p w14:paraId="50E5CA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108EE2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之间桩号</w:t>
            </w:r>
          </w:p>
          <w:p w14:paraId="6BB716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589623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A7D2D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02F583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5F4C8A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700" w:type="dxa"/>
            <w:noWrap w:val="0"/>
            <w:vAlign w:val="center"/>
          </w:tcPr>
          <w:p w14:paraId="2B2200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75BF03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02ED21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DE7B8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58B4B0F9">
            <w:pPr>
              <w:jc w:val="center"/>
              <w:rPr>
                <w:rFonts w:hint="eastAsia" w:ascii="宋体" w:hAnsi="宋体" w:eastAsia="宋体" w:cs="宋体"/>
                <w:i w:val="0"/>
                <w:iCs w:val="0"/>
                <w:color w:val="000000"/>
                <w:sz w:val="24"/>
                <w:szCs w:val="24"/>
                <w:u w:val="none"/>
              </w:rPr>
            </w:pPr>
          </w:p>
        </w:tc>
      </w:tr>
      <w:tr w14:paraId="72E4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56164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192" w:type="dxa"/>
            <w:noWrap w:val="0"/>
            <w:vAlign w:val="center"/>
          </w:tcPr>
          <w:p w14:paraId="45BCAA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3156" w:type="dxa"/>
            <w:noWrap w:val="0"/>
            <w:vAlign w:val="center"/>
          </w:tcPr>
          <w:p w14:paraId="1121E0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1DF79B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90"/>
                <w:kern w:val="0"/>
                <w:sz w:val="16"/>
                <w:szCs w:val="16"/>
                <w:u w:val="none"/>
                <w:lang w:val="en-US" w:eastAsia="zh-CN" w:bidi="ar"/>
              </w:rPr>
              <w:t>G1</w:t>
            </w:r>
            <w:r>
              <w:rPr>
                <w:rFonts w:hint="eastAsia" w:ascii="宋体" w:hAnsi="宋体" w:eastAsia="宋体" w:cs="宋体"/>
                <w:i w:val="0"/>
                <w:iCs w:val="0"/>
                <w:color w:val="000000"/>
                <w:w w:val="100"/>
                <w:kern w:val="0"/>
                <w:sz w:val="16"/>
                <w:szCs w:val="16"/>
                <w:u w:val="none"/>
                <w:lang w:val="en-US" w:eastAsia="zh-CN" w:bidi="ar"/>
              </w:rPr>
              <w:t>42-G148、G160-G176、G184-G195</w:t>
            </w:r>
            <w:r>
              <w:rPr>
                <w:rFonts w:hint="eastAsia" w:ascii="宋体" w:hAnsi="宋体" w:eastAsia="宋体" w:cs="宋体"/>
                <w:i w:val="0"/>
                <w:iCs w:val="0"/>
                <w:color w:val="000000"/>
                <w:kern w:val="0"/>
                <w:sz w:val="16"/>
                <w:szCs w:val="16"/>
                <w:u w:val="none"/>
                <w:lang w:val="en-US" w:eastAsia="zh-CN" w:bidi="ar"/>
              </w:rPr>
              <w:t>桩号之间</w:t>
            </w:r>
          </w:p>
          <w:p w14:paraId="16A1CF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79E3D2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5811B0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022357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700" w:type="dxa"/>
            <w:noWrap w:val="0"/>
            <w:vAlign w:val="center"/>
          </w:tcPr>
          <w:p w14:paraId="4E3C5E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0F926C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4DC56F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402B72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5AE2A958">
            <w:pPr>
              <w:jc w:val="center"/>
              <w:rPr>
                <w:rFonts w:hint="eastAsia" w:ascii="宋体" w:hAnsi="宋体" w:eastAsia="宋体" w:cs="宋体"/>
                <w:i w:val="0"/>
                <w:iCs w:val="0"/>
                <w:color w:val="000000"/>
                <w:sz w:val="24"/>
                <w:szCs w:val="24"/>
                <w:u w:val="none"/>
              </w:rPr>
            </w:pPr>
          </w:p>
        </w:tc>
      </w:tr>
      <w:tr w14:paraId="0E51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AACDD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192" w:type="dxa"/>
            <w:noWrap w:val="0"/>
            <w:vAlign w:val="center"/>
          </w:tcPr>
          <w:p w14:paraId="794E9A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3156" w:type="dxa"/>
            <w:noWrap w:val="0"/>
            <w:vAlign w:val="center"/>
          </w:tcPr>
          <w:p w14:paraId="119D65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5F147F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66A603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37A31E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22BEA3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A9EF3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700" w:type="dxa"/>
            <w:noWrap w:val="0"/>
            <w:vAlign w:val="center"/>
          </w:tcPr>
          <w:p w14:paraId="10466C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45C0F4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5C9694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E554C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7C875B6E">
            <w:pPr>
              <w:jc w:val="center"/>
              <w:rPr>
                <w:rFonts w:hint="eastAsia" w:ascii="宋体" w:hAnsi="宋体" w:eastAsia="宋体" w:cs="宋体"/>
                <w:i w:val="0"/>
                <w:iCs w:val="0"/>
                <w:color w:val="000000"/>
                <w:sz w:val="24"/>
                <w:szCs w:val="24"/>
                <w:u w:val="none"/>
              </w:rPr>
            </w:pPr>
          </w:p>
        </w:tc>
      </w:tr>
      <w:tr w14:paraId="14AF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AB062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192" w:type="dxa"/>
            <w:noWrap w:val="0"/>
            <w:vAlign w:val="center"/>
          </w:tcPr>
          <w:p w14:paraId="49D880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3156" w:type="dxa"/>
            <w:noWrap w:val="0"/>
            <w:vAlign w:val="center"/>
          </w:tcPr>
          <w:p w14:paraId="35CCCC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77194C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53BD5C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7D53E8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F5CFE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700" w:type="dxa"/>
            <w:noWrap w:val="0"/>
            <w:vAlign w:val="center"/>
          </w:tcPr>
          <w:p w14:paraId="17843E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25480A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51D194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70F14D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1418BEC9">
            <w:pPr>
              <w:jc w:val="center"/>
              <w:rPr>
                <w:rFonts w:hint="eastAsia" w:ascii="宋体" w:hAnsi="宋体" w:eastAsia="宋体" w:cs="宋体"/>
                <w:i w:val="0"/>
                <w:iCs w:val="0"/>
                <w:color w:val="000000"/>
                <w:sz w:val="24"/>
                <w:szCs w:val="24"/>
                <w:u w:val="none"/>
              </w:rPr>
            </w:pPr>
          </w:p>
        </w:tc>
      </w:tr>
      <w:tr w14:paraId="4CAD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5009F7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192" w:type="dxa"/>
            <w:noWrap w:val="0"/>
            <w:vAlign w:val="center"/>
          </w:tcPr>
          <w:p w14:paraId="4BA384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3156" w:type="dxa"/>
            <w:noWrap w:val="0"/>
            <w:vAlign w:val="center"/>
          </w:tcPr>
          <w:p w14:paraId="408546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53A0F3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74E146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237B20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AAD5A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100"/>
                <w:kern w:val="0"/>
                <w:sz w:val="16"/>
                <w:szCs w:val="16"/>
                <w:u w:val="none"/>
                <w:lang w:val="en-US" w:eastAsia="zh-CN" w:bidi="ar"/>
              </w:rPr>
              <w:t>1.清管、测径、试压、干燥。</w:t>
            </w:r>
          </w:p>
        </w:tc>
        <w:tc>
          <w:tcPr>
            <w:tcW w:w="700" w:type="dxa"/>
            <w:noWrap w:val="0"/>
            <w:vAlign w:val="center"/>
          </w:tcPr>
          <w:p w14:paraId="14019E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66F1E2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4FD713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5B3816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018D7AE2">
            <w:pPr>
              <w:jc w:val="center"/>
              <w:rPr>
                <w:rFonts w:hint="eastAsia" w:ascii="宋体" w:hAnsi="宋体" w:eastAsia="宋体" w:cs="宋体"/>
                <w:i w:val="0"/>
                <w:iCs w:val="0"/>
                <w:color w:val="000000"/>
                <w:sz w:val="24"/>
                <w:szCs w:val="24"/>
                <w:u w:val="none"/>
              </w:rPr>
            </w:pPr>
          </w:p>
        </w:tc>
      </w:tr>
      <w:tr w14:paraId="47CD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39F01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92" w:type="dxa"/>
            <w:noWrap w:val="0"/>
            <w:vAlign w:val="center"/>
          </w:tcPr>
          <w:p w14:paraId="0A4C1C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3156" w:type="dxa"/>
            <w:noWrap w:val="0"/>
            <w:vAlign w:val="center"/>
          </w:tcPr>
          <w:p w14:paraId="5994A8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622B41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09D49F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5544E0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CEE04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700" w:type="dxa"/>
            <w:noWrap w:val="0"/>
            <w:vAlign w:val="center"/>
          </w:tcPr>
          <w:p w14:paraId="6F70BA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412993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4C0715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2" w:type="dxa"/>
            <w:noWrap w:val="0"/>
            <w:vAlign w:val="center"/>
          </w:tcPr>
          <w:p w14:paraId="19638B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963" w:type="dxa"/>
            <w:noWrap w:val="0"/>
            <w:vAlign w:val="top"/>
          </w:tcPr>
          <w:p w14:paraId="716215C2">
            <w:pPr>
              <w:jc w:val="center"/>
              <w:rPr>
                <w:rFonts w:hint="eastAsia" w:ascii="宋体" w:hAnsi="宋体" w:eastAsia="宋体" w:cs="宋体"/>
                <w:i w:val="0"/>
                <w:iCs w:val="0"/>
                <w:color w:val="000000"/>
                <w:sz w:val="24"/>
                <w:szCs w:val="24"/>
                <w:u w:val="none"/>
              </w:rPr>
            </w:pPr>
          </w:p>
        </w:tc>
      </w:tr>
      <w:tr w14:paraId="7EA4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E913C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192" w:type="dxa"/>
            <w:noWrap w:val="0"/>
            <w:vAlign w:val="center"/>
          </w:tcPr>
          <w:p w14:paraId="00D437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门站工艺管道和设备安装工程</w:t>
            </w:r>
          </w:p>
        </w:tc>
        <w:tc>
          <w:tcPr>
            <w:tcW w:w="3156" w:type="dxa"/>
            <w:noWrap w:val="0"/>
            <w:vAlign w:val="center"/>
          </w:tcPr>
          <w:p w14:paraId="5E7841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[项目名称]：漳县分输站工艺管道和设备</w:t>
            </w:r>
          </w:p>
          <w:p w14:paraId="2D5277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安装及调试</w:t>
            </w:r>
          </w:p>
          <w:p w14:paraId="3D598B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[施工部位]：漳县分输站</w:t>
            </w:r>
          </w:p>
          <w:p w14:paraId="0FEC81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项目特征]：施工图纸所含工程内容全部完成</w:t>
            </w:r>
          </w:p>
          <w:p w14:paraId="3B702C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2A4ED9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1.工艺管道安装；</w:t>
            </w:r>
          </w:p>
          <w:p w14:paraId="216D897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2.阀类及设备安装；</w:t>
            </w:r>
          </w:p>
          <w:p w14:paraId="623DBC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3.管道及设备设施试压、调试及运行。</w:t>
            </w:r>
          </w:p>
        </w:tc>
        <w:tc>
          <w:tcPr>
            <w:tcW w:w="700" w:type="dxa"/>
            <w:noWrap w:val="0"/>
            <w:vAlign w:val="center"/>
          </w:tcPr>
          <w:p w14:paraId="16D2CB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37" w:type="dxa"/>
            <w:noWrap w:val="0"/>
            <w:vAlign w:val="center"/>
          </w:tcPr>
          <w:p w14:paraId="581A9A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200" w:type="dxa"/>
            <w:noWrap w:val="0"/>
            <w:vAlign w:val="center"/>
          </w:tcPr>
          <w:p w14:paraId="0FA36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882" w:type="dxa"/>
            <w:noWrap w:val="0"/>
            <w:vAlign w:val="center"/>
          </w:tcPr>
          <w:p w14:paraId="4C2C71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963" w:type="dxa"/>
            <w:noWrap w:val="0"/>
            <w:vAlign w:val="top"/>
          </w:tcPr>
          <w:p w14:paraId="2F02FEDA">
            <w:pPr>
              <w:jc w:val="center"/>
              <w:rPr>
                <w:rFonts w:hint="eastAsia" w:ascii="宋体" w:hAnsi="宋体" w:eastAsia="宋体" w:cs="宋体"/>
                <w:i w:val="0"/>
                <w:iCs w:val="0"/>
                <w:color w:val="000000"/>
                <w:sz w:val="24"/>
                <w:szCs w:val="24"/>
                <w:u w:val="none"/>
              </w:rPr>
            </w:pPr>
          </w:p>
        </w:tc>
      </w:tr>
      <w:tr w14:paraId="2063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34BD1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2" w:type="dxa"/>
            <w:noWrap w:val="0"/>
            <w:vAlign w:val="center"/>
          </w:tcPr>
          <w:p w14:paraId="40FF13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156" w:type="dxa"/>
            <w:noWrap w:val="0"/>
            <w:vAlign w:val="center"/>
          </w:tcPr>
          <w:p w14:paraId="56B631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700" w:type="dxa"/>
            <w:noWrap w:val="0"/>
            <w:vAlign w:val="center"/>
          </w:tcPr>
          <w:p w14:paraId="5A627D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noWrap w:val="0"/>
            <w:vAlign w:val="center"/>
          </w:tcPr>
          <w:p w14:paraId="13559B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noWrap w:val="0"/>
            <w:vAlign w:val="center"/>
          </w:tcPr>
          <w:p w14:paraId="1A9D96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882" w:type="dxa"/>
            <w:noWrap w:val="0"/>
            <w:vAlign w:val="center"/>
          </w:tcPr>
          <w:p w14:paraId="06D2FA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963" w:type="dxa"/>
            <w:noWrap w:val="0"/>
            <w:vAlign w:val="top"/>
          </w:tcPr>
          <w:p w14:paraId="266C783A">
            <w:pPr>
              <w:jc w:val="center"/>
              <w:rPr>
                <w:rFonts w:hint="eastAsia" w:ascii="宋体" w:hAnsi="宋体" w:eastAsia="宋体" w:cs="宋体"/>
                <w:i w:val="0"/>
                <w:iCs w:val="0"/>
                <w:color w:val="000000"/>
                <w:sz w:val="24"/>
                <w:szCs w:val="24"/>
                <w:u w:val="none"/>
              </w:rPr>
            </w:pPr>
          </w:p>
        </w:tc>
      </w:tr>
      <w:tr w14:paraId="1B8B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730" w:type="dxa"/>
            <w:gridSpan w:val="8"/>
            <w:noWrap w:val="0"/>
            <w:vAlign w:val="top"/>
          </w:tcPr>
          <w:p w14:paraId="54034695">
            <w:pPr>
              <w:spacing w:line="360" w:lineRule="auto"/>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18"/>
              </w:rPr>
              <w:t>含税总价：</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元，人民币大写：</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u w:val="none"/>
                <w:lang w:val="en-US" w:eastAsia="zh-CN"/>
              </w:rPr>
              <w:t>元</w:t>
            </w:r>
            <w:r>
              <w:rPr>
                <w:rFonts w:hint="eastAsia" w:ascii="宋体" w:hAnsi="宋体" w:eastAsia="宋体" w:cs="宋体"/>
                <w:color w:val="000000"/>
                <w:sz w:val="21"/>
                <w:szCs w:val="18"/>
              </w:rPr>
              <w:t>；</w:t>
            </w:r>
          </w:p>
        </w:tc>
      </w:tr>
      <w:tr w14:paraId="5D96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730" w:type="dxa"/>
            <w:gridSpan w:val="8"/>
            <w:noWrap w:val="0"/>
            <w:vAlign w:val="top"/>
          </w:tcPr>
          <w:p w14:paraId="111F91E2">
            <w:pPr>
              <w:spacing w:line="360" w:lineRule="auto"/>
              <w:rPr>
                <w:rFonts w:hint="eastAsia" w:ascii="宋体" w:hAnsi="宋体" w:eastAsia="宋体" w:cs="宋体"/>
                <w:color w:val="000000"/>
                <w:sz w:val="21"/>
                <w:szCs w:val="18"/>
                <w:highlight w:val="none"/>
                <w:lang w:val="en-US" w:eastAsia="zh-CN"/>
              </w:rPr>
            </w:pPr>
            <w:r>
              <w:rPr>
                <w:rFonts w:hint="eastAsia" w:ascii="宋体" w:hAnsi="宋体" w:eastAsia="宋体" w:cs="宋体"/>
                <w:color w:val="000000"/>
                <w:sz w:val="21"/>
                <w:szCs w:val="18"/>
              </w:rPr>
              <w:t>不含税总价：</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元，人民币大写：</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w:t>
            </w:r>
          </w:p>
        </w:tc>
      </w:tr>
      <w:tr w14:paraId="6157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30" w:type="dxa"/>
            <w:gridSpan w:val="8"/>
            <w:noWrap w:val="0"/>
            <w:vAlign w:val="top"/>
          </w:tcPr>
          <w:p w14:paraId="77517CCC">
            <w:pPr>
              <w:keepNext w:val="0"/>
              <w:keepLines w:val="0"/>
              <w:widowControl/>
              <w:suppressLineNumbers w:val="0"/>
              <w:jc w:val="left"/>
              <w:textAlignment w:val="top"/>
              <w:rPr>
                <w:rFonts w:hint="eastAsia" w:ascii="宋体" w:hAnsi="宋体" w:eastAsia="宋体" w:cs="宋体"/>
                <w:color w:val="000000"/>
                <w:sz w:val="21"/>
                <w:szCs w:val="18"/>
                <w:highlight w:val="none"/>
                <w:lang w:val="en-US" w:eastAsia="zh-CN"/>
              </w:rPr>
            </w:pPr>
            <w:r>
              <w:rPr>
                <w:rFonts w:hint="eastAsia" w:ascii="宋体" w:hAnsi="宋体" w:eastAsia="宋体" w:cs="宋体"/>
                <w:color w:val="000000"/>
                <w:sz w:val="21"/>
                <w:szCs w:val="18"/>
                <w:highlight w:val="none"/>
                <w:lang w:val="en-US" w:eastAsia="zh-CN"/>
              </w:rPr>
              <w:t>发票为增值税专用发票：</w:t>
            </w:r>
            <w:r>
              <w:rPr>
                <w:rFonts w:hint="eastAsia" w:ascii="宋体" w:hAnsi="宋体" w:eastAsia="宋体" w:cs="宋体"/>
                <w:color w:val="000000"/>
                <w:sz w:val="21"/>
                <w:szCs w:val="18"/>
                <w:highlight w:val="none"/>
              </w:rPr>
              <w:t>税率为</w:t>
            </w:r>
            <w:r>
              <w:rPr>
                <w:rFonts w:hint="eastAsia" w:ascii="宋体" w:hAnsi="宋体" w:eastAsia="宋体" w:cs="宋体"/>
                <w:color w:val="000000"/>
                <w:sz w:val="21"/>
                <w:szCs w:val="18"/>
                <w:highlight w:val="none"/>
                <w:u w:val="single"/>
              </w:rPr>
              <w:t xml:space="preserve"> </w:t>
            </w:r>
            <w:r>
              <w:rPr>
                <w:rFonts w:hint="eastAsia" w:ascii="宋体" w:hAnsi="宋体" w:eastAsia="宋体" w:cs="宋体"/>
                <w:color w:val="000000"/>
                <w:sz w:val="21"/>
                <w:szCs w:val="18"/>
                <w:highlight w:val="none"/>
                <w:u w:val="single"/>
                <w:lang w:val="en-US" w:eastAsia="zh-CN"/>
              </w:rPr>
              <w:t>3</w:t>
            </w:r>
            <w:r>
              <w:rPr>
                <w:rFonts w:hint="eastAsia" w:ascii="宋体" w:hAnsi="宋体" w:eastAsia="宋体" w:cs="宋体"/>
                <w:color w:val="000000"/>
                <w:sz w:val="21"/>
                <w:szCs w:val="18"/>
                <w:highlight w:val="none"/>
                <w:u w:val="single"/>
              </w:rPr>
              <w:t xml:space="preserve"> </w:t>
            </w:r>
            <w:r>
              <w:rPr>
                <w:rFonts w:hint="eastAsia" w:ascii="宋体" w:hAnsi="宋体" w:eastAsia="宋体" w:cs="宋体"/>
                <w:color w:val="000000"/>
                <w:sz w:val="21"/>
                <w:szCs w:val="18"/>
                <w:highlight w:val="none"/>
              </w:rPr>
              <w:t>%</w:t>
            </w:r>
          </w:p>
        </w:tc>
      </w:tr>
      <w:tr w14:paraId="64DE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730" w:type="dxa"/>
            <w:gridSpan w:val="8"/>
            <w:noWrap w:val="0"/>
            <w:vAlign w:val="top"/>
          </w:tcPr>
          <w:p w14:paraId="2569D6C5">
            <w:pPr>
              <w:keepNext w:val="0"/>
              <w:keepLines w:val="0"/>
              <w:widowControl/>
              <w:suppressLineNumbers w:val="0"/>
              <w:jc w:val="left"/>
              <w:textAlignment w:val="top"/>
              <w:rPr>
                <w:rFonts w:hint="eastAsia" w:ascii="宋体" w:hAnsi="宋体" w:eastAsia="宋体" w:cs="宋体"/>
                <w:color w:val="000000"/>
                <w:sz w:val="24"/>
                <w:highlight w:val="none"/>
              </w:rPr>
            </w:pPr>
            <w:r>
              <w:rPr>
                <w:rFonts w:hint="eastAsia" w:ascii="宋体" w:hAnsi="宋体" w:cs="宋体"/>
                <w:color w:val="000000"/>
                <w:sz w:val="21"/>
                <w:szCs w:val="18"/>
                <w:highlight w:val="none"/>
              </w:rPr>
              <w:t>说明：以上单价，包含但不限于施工准备费，劳务费，乙方自行采购的</w:t>
            </w:r>
            <w:r>
              <w:rPr>
                <w:rFonts w:hint="eastAsia" w:ascii="宋体" w:hAnsi="宋体" w:cs="宋体"/>
                <w:color w:val="000000"/>
                <w:sz w:val="21"/>
                <w:szCs w:val="18"/>
                <w:highlight w:val="none"/>
                <w:lang w:val="en-US" w:eastAsia="zh-CN"/>
              </w:rPr>
              <w:t>辅材及消耗</w:t>
            </w:r>
            <w:r>
              <w:rPr>
                <w:rFonts w:hint="eastAsia" w:ascii="宋体" w:hAnsi="宋体" w:cs="宋体"/>
                <w:color w:val="000000"/>
                <w:sz w:val="21"/>
                <w:szCs w:val="18"/>
                <w:highlight w:val="none"/>
              </w:rPr>
              <w:t>材料费，施工机具使用费，临时设施费，水电费，安全文明施工费，甲供材料的装卸、倒运、保管费，放假期间的场地看护费，已完工程及设备保护费，甲供物资退库费，场地清理费，保险费，管理费，风险费，利润，税金及政策文件规定的各项费用和支出等，乙方所提供的劳务人员在提供劳务服务过程中，需要配合项目部完成该项目研究课题所涉及的施工内容，期间产生的费用包含在此合同中，甲方不再单独付费。劳务</w:t>
            </w:r>
            <w:r>
              <w:rPr>
                <w:rFonts w:hint="eastAsia" w:ascii="宋体" w:hAnsi="宋体" w:eastAsia="宋体" w:cs="宋体"/>
                <w:color w:val="000000"/>
                <w:sz w:val="21"/>
                <w:szCs w:val="18"/>
                <w:highlight w:val="none"/>
                <w:lang w:val="en-US" w:eastAsia="zh-CN"/>
              </w:rPr>
              <w:t>合同</w:t>
            </w:r>
            <w:r>
              <w:rPr>
                <w:rFonts w:hint="eastAsia" w:ascii="宋体" w:hAnsi="宋体" w:cs="宋体"/>
                <w:color w:val="000000"/>
                <w:sz w:val="21"/>
                <w:szCs w:val="18"/>
                <w:highlight w:val="none"/>
              </w:rPr>
              <w:t>价格除本合同</w:t>
            </w:r>
            <w:r>
              <w:rPr>
                <w:rFonts w:ascii="宋体" w:hAnsi="宋体" w:cs="宋体"/>
                <w:color w:val="000000"/>
                <w:sz w:val="21"/>
                <w:szCs w:val="18"/>
                <w:highlight w:val="none"/>
              </w:rPr>
              <w:t>5.4规定</w:t>
            </w:r>
            <w:r>
              <w:rPr>
                <w:rFonts w:hint="eastAsia" w:ascii="宋体" w:hAnsi="宋体" w:cs="宋体"/>
                <w:color w:val="000000"/>
                <w:sz w:val="21"/>
                <w:szCs w:val="18"/>
                <w:highlight w:val="none"/>
              </w:rPr>
              <w:t>的情况外，均为一次包死，不再调整。若此税率和国家调整后的该合同要适用的税率发生变化，含税单价按照国家调整后的新税率进行调整。</w:t>
            </w:r>
            <w:r>
              <w:rPr>
                <w:rFonts w:hint="eastAsia" w:ascii="宋体" w:hAnsi="宋体" w:cs="宋体"/>
                <w:color w:val="000000"/>
                <w:sz w:val="21"/>
                <w:szCs w:val="18"/>
                <w:highlight w:val="none"/>
                <w:lang w:val="en-US" w:eastAsia="zh-CN"/>
              </w:rPr>
              <w:t>本工程为</w:t>
            </w:r>
            <w:r>
              <w:rPr>
                <w:rFonts w:hint="eastAsia" w:ascii="宋体" w:hAnsi="宋体" w:cs="宋体"/>
                <w:color w:val="000000"/>
                <w:sz w:val="21"/>
                <w:szCs w:val="18"/>
                <w:highlight w:val="none"/>
              </w:rPr>
              <w:t>固定综合单价合同</w:t>
            </w:r>
            <w:r>
              <w:rPr>
                <w:rFonts w:hint="eastAsia" w:ascii="宋体" w:hAnsi="宋体" w:cs="宋体"/>
                <w:color w:val="000000"/>
                <w:sz w:val="21"/>
                <w:szCs w:val="18"/>
                <w:highlight w:val="none"/>
                <w:lang w:val="en-US" w:eastAsia="zh-CN"/>
              </w:rPr>
              <w:t>工程量据实结算</w:t>
            </w:r>
            <w:r>
              <w:rPr>
                <w:rFonts w:hint="eastAsia" w:ascii="宋体" w:hAnsi="宋体"/>
                <w:sz w:val="21"/>
                <w:szCs w:val="21"/>
                <w:highlight w:val="none"/>
              </w:rPr>
              <w:t>。</w:t>
            </w:r>
          </w:p>
        </w:tc>
      </w:tr>
    </w:tbl>
    <w:p w14:paraId="3D6385F9">
      <w:pPr>
        <w:spacing w:before="78" w:line="336" w:lineRule="auto"/>
        <w:ind w:right="602"/>
        <w:rPr>
          <w:rFonts w:ascii="宋体" w:hAnsi="宋体" w:eastAsia="宋体" w:cs="宋体"/>
          <w:spacing w:val="-2"/>
          <w:sz w:val="24"/>
          <w:szCs w:val="24"/>
        </w:rPr>
      </w:pPr>
    </w:p>
    <w:p w14:paraId="4C3DA46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5.3 本工程分包合同价中已包括 3%的安全文明施工费用（用于乙方对其人员 进行文明施工、环境保护、临时设施、安全施工及其他安全文明措施等），结算 时不再另行计取。乙方应将安全文明施工费合理足额使用，并向甲方提供相关票 据及明细，若甲方检查发现乙方现场安全文明施工及措施不到位，资金落实不到 位，甲方有权组织人员落实现场安全文明施工及设施，费用从乙方安全文明施工 费中直接扣除。</w:t>
      </w:r>
    </w:p>
    <w:p w14:paraId="780F624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5.4 除国家税率政策变化或合同另有约定外，本合同价不予调整。</w:t>
      </w:r>
    </w:p>
    <w:p w14:paraId="65566C9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5.5 工程量的计量</w:t>
      </w:r>
    </w:p>
    <w:p w14:paraId="67EC93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乙方按 月 将监理验收合格的已完工程量，按照甲方要求的文件格式报甲方 确认。对未经甲方书面认可超出合同范围的工程量，或因乙方原因造成返工的工 程量，甲方不予计量。</w:t>
      </w:r>
    </w:p>
    <w:p w14:paraId="2D94917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5.6 进度款的支付</w:t>
      </w:r>
    </w:p>
    <w:p w14:paraId="4B88BFA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双方约定，甲方按以下第 2 种方式向乙方支付工程进度款。</w:t>
      </w:r>
    </w:p>
    <w:p w14:paraId="15F7F7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（1）分包范围内的工程已全部完工，经建设单位、监理单位验收合格、质 量符合合同要求，工程进度款按合同总价的 / %一次性支付；</w:t>
      </w:r>
    </w:p>
    <w:p w14:paraId="5F1059E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（2）分包范围内的月度完成工程量，经建设单位、监理单位验收合格、质 量符合合同要求，工程进度款按月完成工程量造价的 75 %支付。</w:t>
      </w:r>
    </w:p>
    <w:p w14:paraId="7789749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5.7 工程结算</w:t>
      </w:r>
    </w:p>
    <w:p w14:paraId="4258C3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5.7.1 分包工程竣工验收报告经甲方认可后 14 天内，乙方向甲方递交分包 工程竣工结算报告及完整的结算资料，甲方收到乙方递交的分包工程竣工结算报 告及结算资料后 28 天内进行核实，给予确认或者提出明确的修改意见。</w:t>
      </w:r>
    </w:p>
    <w:p w14:paraId="78505DE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5.7.2 工程结算资料经甲方审核无误后，甲方支付工程款至工程结算总价的 97%；剩余 3%作为质保金，待缺陷责任期满后一次性无息返还，乙方的保修责任 不以质保金退还而解除。</w:t>
      </w:r>
    </w:p>
    <w:p w14:paraId="309B34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5.7.3 以固定总价签订的合同，变更签证总价款占合同总价款比例在 / %以 内（含 / %）时，结算时合同总价款不做调整，超过 / %以外部分由甲方承担（据 实结算价款扣减合同总价款的 / %），减少部分据实结算。</w:t>
      </w:r>
    </w:p>
    <w:p w14:paraId="348485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5.7.4 以固定综合单价签订的合同，当应予计量的实际单项工程量与合同清 单工程量偏差范围在 / %以内（含 /%）时，合同清单数量不作调整。应予计量 的实际单项工程量与合同清单工程量偏差范围在±/ %以内（含 / %）时，结算 时单项工程合同单价不做调整。当工程量增加超过 /%以上时，超出 / %以外工 程量结算单价应按照合同单价降低 / %。当工程量减少超过 / %时，结算单价应 按照合同单价执行。</w:t>
      </w:r>
    </w:p>
    <w:p w14:paraId="041CBD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5.8 甲方在支付当期进度款时，有权按照合同中的约定扣除当期各种扣款（包 括水电费（若水电费为甲方代缴）、罚款、赔偿款或违约金等）。甲方如未在当 期扣除按合同应当由乙方承担的各项扣款，仍有权在后期结算、付款时进行扣除 或者另行追偿。</w:t>
      </w:r>
    </w:p>
    <w:p w14:paraId="5D195E2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5.9 关于票据的相关规定</w:t>
      </w:r>
    </w:p>
    <w:p w14:paraId="119DA0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每次进度款支付前，乙方需按甲方要求出具符合纳税人身份且合法有效的增 值税专用发票，发票相关信息必须与实际提供的应税业务内容一致，开票内容为： 建筑服务*劳务费。否则，甲方有权拒付工程款，由此引发的所有责任及损失均 由乙方承担。乙方开具虚假、作废等无效发票或者违反国家法律法规开具、提供</w:t>
      </w:r>
    </w:p>
    <w:p w14:paraId="59E6177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发票的，乙方应自行承担相应法律责任，并应向甲方支付合同总价（包含增值税） 5  %的违约金；乙方提供履约保证金的，甲方有权扣除相当于甲方损失金额的履 约保证金，以上违约金或履约保证金不足以弥补甲方损失的，乙方应予以赔偿。 乙方重新开具的发票仍与合同约定不符的或乙方无法开具发票的，乙方除按本项 前述约定承担责任外，甲方有权单方面解除合同，乙方应承担由此给甲方造成的 全部损失。</w:t>
      </w:r>
    </w:p>
    <w:p w14:paraId="01D6817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5.10 农民工工资支付（实名制和代发农民工工资）</w:t>
      </w:r>
    </w:p>
    <w:p w14:paraId="7BBCFE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本合同履行期间，乙方需支付农民工工资时，需按照《保障农民工工资支付 条例》（国务院令第 724 号）及甲方相关制度要求，由甲方代发农民工工资。若 因乙方未按要求按时上报相应的农民工资料，导致农民工个人工资被拖欠从而引 发农民工到有关单位或劳动和社会保障行政部门举报等行为，相应责任由乙方全 部承担。</w:t>
      </w:r>
    </w:p>
    <w:p w14:paraId="7B070B33">
      <w:pPr>
        <w:spacing w:before="33" w:line="219" w:lineRule="auto"/>
        <w:ind w:left="477"/>
        <w:rPr>
          <w:rFonts w:ascii="宋体" w:hAnsi="宋体" w:eastAsia="宋体" w:cs="宋体"/>
          <w:sz w:val="24"/>
          <w:szCs w:val="24"/>
        </w:rPr>
      </w:pPr>
      <w:r>
        <w:rPr>
          <w:rFonts w:ascii="宋体" w:hAnsi="宋体" w:eastAsia="宋体" w:cs="宋体"/>
          <w:b/>
          <w:bCs/>
          <w:spacing w:val="-4"/>
          <w:sz w:val="24"/>
          <w:szCs w:val="24"/>
        </w:rPr>
        <w:t>第七条</w:t>
      </w:r>
      <w:r>
        <w:rPr>
          <w:rFonts w:ascii="宋体" w:hAnsi="宋体" w:eastAsia="宋体" w:cs="宋体"/>
          <w:spacing w:val="76"/>
          <w:sz w:val="24"/>
          <w:szCs w:val="24"/>
        </w:rPr>
        <w:t xml:space="preserve"> </w:t>
      </w:r>
      <w:r>
        <w:rPr>
          <w:rFonts w:ascii="宋体" w:hAnsi="宋体" w:eastAsia="宋体" w:cs="宋体"/>
          <w:b/>
          <w:bCs/>
          <w:spacing w:val="-4"/>
          <w:sz w:val="24"/>
          <w:szCs w:val="24"/>
        </w:rPr>
        <w:t>安全文明施工与检查</w:t>
      </w:r>
    </w:p>
    <w:p w14:paraId="458216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6.1 乙方必须贯彻执行国家有关安全生产的法律法规及规章制度，严格遵守 安全操作规程和安全标准，遵循建设单位及甲方的现场安全管理制度，服从甲方 的管理和指挥。</w:t>
      </w:r>
    </w:p>
    <w:p w14:paraId="6C037C5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6.2 乙方应随时参加甲方组织的安全教育会以及安全检查活动，对甲方在检 查中提出的安全隐患必须及时整改消除。对甲方现场管理人员做出的违反安全规 定的指挥，乙方有权拒绝执行，并向甲方负责人提出。对甲方提供的生产、生活 设施，乙方经检查满足安全需要方可使用，如存在安全隐患可向甲方提出书面的 更换、修理要求。</w:t>
      </w:r>
    </w:p>
    <w:p w14:paraId="0129C3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6.3 乙方必须按规定搭设、维护其分包范围内的临时安全设施，并不得破坏 甲方或其他工程参建方搭设的临时安全设施。施工中如违反上述规定而发生伤亡 事故，或在非作业时间及工作场所以外发生的非因工伤害，其损失由乙方负全责。 甲方对乙方实施的管理行为，并不能减轻乙方应承担的安全责任。如因乙方未尽 到安全义务，而导致安全事故的发生，乙方应承担全部责任。</w:t>
      </w:r>
    </w:p>
    <w:p w14:paraId="5252D8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6.4 乙方应严格执行  甘肃省定西   市  陇西和漳县   区/县及甲方的文明工地检查（验 收）标准，两者不一致时，按要求高的执行。乙方按照国家和当地政府有关规定 应采取的任何必要安全防护及文明施工措施所需费用已包含在合同价款当中，甲 方不另行支付。</w:t>
      </w:r>
    </w:p>
    <w:p w14:paraId="5DEE14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6.5 乙方应当自行为作业人员配备安全帽、工作服、安全带、手套等劳动保 护用品，安全帽、工作服等款式应符合本工程施工现场要求。此分包工程施工过 程中所需的有关劳动保护用品及安全防护设施，相关费用已包含在合同价款内。 因乙方自备的劳动保护、安全防护设施及用品的质量问题或使用不当所造成的安 全事故，由乙方承担全部责任。</w:t>
      </w:r>
    </w:p>
    <w:p w14:paraId="75FD76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6.6 乙方必须为本工程安排专职安全员（应有上岗证、安全生产考核 C 类人 员合格证且证件在有效期内）不少于  1   名，并常驻工地。</w:t>
      </w:r>
    </w:p>
    <w:p w14:paraId="55C6A72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6.7 本工程不允许发生伤亡事故，但如实际发生，双方应采取紧急措施防止 事态扩大并全力组织抢救伤者，保护事故现场。甲、乙双方分清责任，由事故责 任方承担相应的责任。</w:t>
      </w:r>
    </w:p>
    <w:p w14:paraId="0C49623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6.8 发生重大伤亡及其他安全事故，乙方应立即上报甲方项目负责人，同时 按国家有关法律、行政法规对事故进行处理。</w:t>
      </w:r>
    </w:p>
    <w:p w14:paraId="0BC1530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6.9 如因乙方责任在施工过程中发生安全责任事故，乙方怠于处理，导致甲 方生产经营工作受到影响，甲方有权停止支付工程款。甲方认为必要时，可代为 向受害方进行赔付或向政府缴纳罚款，而无需征得乙方同意，代付费用从乙方工 程款中扣除。</w:t>
      </w:r>
    </w:p>
    <w:p w14:paraId="1BA4F2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6.10 如因乙方责任发生安全事故致人重伤、死亡或发生火灾事故的，或发 生轻伤安全事故累计超过 2 次的，或存在重大安全隐患经甲方提出后未能采取有 效措施解决的，或存在一般性安全隐患经甲方提出后未能采取有效措施解决的累 计超过 2 次的，甲方均有权停止付款直至乙方整改至达到甲方要求为止，甲方有 权力单方面解除合同，乙方应承担由此给甲方造成的全部损失。</w:t>
      </w:r>
    </w:p>
    <w:p w14:paraId="324C07F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6.11 进入现场的管理人员及施工人员必须提前报项目部接受安全教育，如不 遵守每人处罚 5000 元。</w:t>
      </w:r>
    </w:p>
    <w:p w14:paraId="52D88705">
      <w:pPr>
        <w:spacing w:before="180" w:line="219" w:lineRule="auto"/>
        <w:ind w:left="478"/>
        <w:rPr>
          <w:rFonts w:ascii="宋体" w:hAnsi="宋体" w:eastAsia="宋体" w:cs="宋体"/>
          <w:sz w:val="24"/>
          <w:szCs w:val="24"/>
        </w:rPr>
      </w:pPr>
      <w:r>
        <w:rPr>
          <w:rFonts w:ascii="宋体" w:hAnsi="宋体" w:eastAsia="宋体" w:cs="宋体"/>
          <w:b/>
          <w:bCs/>
          <w:spacing w:val="-5"/>
          <w:sz w:val="24"/>
          <w:szCs w:val="24"/>
        </w:rPr>
        <w:t>第八条</w:t>
      </w:r>
      <w:r>
        <w:rPr>
          <w:rFonts w:ascii="宋体" w:hAnsi="宋体" w:eastAsia="宋体" w:cs="宋体"/>
          <w:spacing w:val="71"/>
          <w:sz w:val="24"/>
          <w:szCs w:val="24"/>
        </w:rPr>
        <w:t xml:space="preserve"> </w:t>
      </w:r>
      <w:r>
        <w:rPr>
          <w:rFonts w:ascii="宋体" w:hAnsi="宋体" w:eastAsia="宋体" w:cs="宋体"/>
          <w:b/>
          <w:bCs/>
          <w:spacing w:val="-5"/>
          <w:sz w:val="24"/>
          <w:szCs w:val="24"/>
        </w:rPr>
        <w:t>环境保护</w:t>
      </w:r>
    </w:p>
    <w:p w14:paraId="3FF8241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7.1 乙方应遵守环境保护相关的法律、法规、规章，采取一切合理措施保护 现场内外的环境。避免由于施工引起的粉尘、有害气体、噪音等环境污染，或其 他由于环境污染的原因造成的人身或财产损失。环境保护必须满足国家环境保护 主管部门对本项目的环评审查意见的要求。</w:t>
      </w:r>
    </w:p>
    <w:p w14:paraId="3901BB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7.2 乙方应确保因其活动产生的气体排放、地面排水、水土流失及污染等不 超过现行法律法规规定的数值。</w:t>
      </w:r>
    </w:p>
    <w:p w14:paraId="1E08E6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7.3 乙方应采取可靠措施保证施工场地及影响区原有交通的正常通行和维持 沿线村镇的居民饮水、农田灌溉、生产生活用电及通讯线路的正常使用。在施工 中取土、弃土、排污等须按设计文件、当地环保部门及既有设施设备产权单位的 要求认真全面处理，必要时应与有关部门签订环保协议。</w:t>
      </w:r>
    </w:p>
    <w:p w14:paraId="57DBEFF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7.4 采用一切可靠措施保证沿线居民房屋、树木、农作物等不受损害。</w:t>
      </w:r>
    </w:p>
    <w:p w14:paraId="70B25AA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7.5 乙方在施工中必须采取切实有效的包括有设计和无设计的防范措施，保 护施工现场环境，避免和减少由于环保措施不力或施工方法不当引起的环境污染 和破坏。</w:t>
      </w:r>
    </w:p>
    <w:p w14:paraId="117AAB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7.6 乙方未能对其负责的上述事项采取必要的措施而导致与此有关的人身伤 亡、罚款、索赔、损失补偿、指控及其它一切责任由乙方负责承担。</w:t>
      </w:r>
    </w:p>
    <w:p w14:paraId="2E17EC99">
      <w:pPr>
        <w:spacing w:before="182" w:line="219" w:lineRule="auto"/>
        <w:ind w:left="478"/>
        <w:rPr>
          <w:rFonts w:ascii="宋体" w:hAnsi="宋体" w:eastAsia="宋体" w:cs="宋体"/>
          <w:sz w:val="24"/>
          <w:szCs w:val="24"/>
        </w:rPr>
      </w:pPr>
      <w:r>
        <w:rPr>
          <w:rFonts w:ascii="宋体" w:hAnsi="宋体" w:eastAsia="宋体" w:cs="宋体"/>
          <w:b/>
          <w:bCs/>
          <w:spacing w:val="-4"/>
          <w:sz w:val="24"/>
          <w:szCs w:val="24"/>
        </w:rPr>
        <w:t>第九条</w:t>
      </w:r>
      <w:r>
        <w:rPr>
          <w:rFonts w:ascii="宋体" w:hAnsi="宋体" w:eastAsia="宋体" w:cs="宋体"/>
          <w:spacing w:val="-50"/>
          <w:sz w:val="24"/>
          <w:szCs w:val="24"/>
        </w:rPr>
        <w:t xml:space="preserve"> </w:t>
      </w:r>
      <w:r>
        <w:rPr>
          <w:rFonts w:ascii="宋体" w:hAnsi="宋体" w:eastAsia="宋体" w:cs="宋体"/>
          <w:b/>
          <w:bCs/>
          <w:spacing w:val="-4"/>
          <w:sz w:val="24"/>
          <w:szCs w:val="24"/>
        </w:rPr>
        <w:t>材料机具管理</w:t>
      </w:r>
    </w:p>
    <w:p w14:paraId="599FB8F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8.1 乙方应妥善保管、合理使用甲方供应的材料、设备等，并保证材料的损 耗不超过定额损耗。如材料损耗超标，超出部分的材料费用甲方按市场价从乙方 工程款中扣除。因使用不当或保管不善发生材料、设备等的丢失、损坏，甲方按 市场价从乙方工程款中双倍扣除，乙方应承担对甲方造成的工期延误等一切损 失。</w:t>
      </w:r>
    </w:p>
    <w:p w14:paraId="459A992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8.2 乙方自行采购或提供的材料、设备等，数量及性能应满足施工要求，并 在材料、设备进场前向甲方提交产品合格证、检验报告等资料。</w:t>
      </w:r>
    </w:p>
    <w:p w14:paraId="734E7BAB">
      <w:pPr>
        <w:spacing w:before="183" w:line="219" w:lineRule="auto"/>
        <w:ind w:left="478"/>
        <w:rPr>
          <w:rFonts w:ascii="宋体" w:hAnsi="宋体" w:eastAsia="宋体" w:cs="宋体"/>
          <w:sz w:val="24"/>
          <w:szCs w:val="24"/>
        </w:rPr>
      </w:pPr>
      <w:r>
        <w:rPr>
          <w:rFonts w:ascii="宋体" w:hAnsi="宋体" w:eastAsia="宋体" w:cs="宋体"/>
          <w:b/>
          <w:bCs/>
          <w:spacing w:val="-5"/>
          <w:sz w:val="24"/>
          <w:szCs w:val="24"/>
        </w:rPr>
        <w:t>第十条</w:t>
      </w:r>
      <w:r>
        <w:rPr>
          <w:rFonts w:ascii="宋体" w:hAnsi="宋体" w:eastAsia="宋体" w:cs="宋体"/>
          <w:spacing w:val="72"/>
          <w:sz w:val="24"/>
          <w:szCs w:val="24"/>
        </w:rPr>
        <w:t xml:space="preserve"> </w:t>
      </w:r>
      <w:r>
        <w:rPr>
          <w:rFonts w:ascii="宋体" w:hAnsi="宋体" w:eastAsia="宋体" w:cs="宋体"/>
          <w:b/>
          <w:bCs/>
          <w:spacing w:val="-5"/>
          <w:sz w:val="24"/>
          <w:szCs w:val="24"/>
        </w:rPr>
        <w:t>工程变更</w:t>
      </w:r>
    </w:p>
    <w:p w14:paraId="401CE3C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9.1 施工中如发生工程变更，甲方代表应提前 24 小时以书面形式向乙方发出 变更通知，并提供变更的相应图纸和说明。乙方应按照甲方代表发出的变更通知 及有关要求执行。</w:t>
      </w:r>
    </w:p>
    <w:p w14:paraId="0FA09F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9.2 乙方不得执行从建设单位处直接收到的未经甲方确认的有关分包工程 变更的指令。</w:t>
      </w:r>
    </w:p>
    <w:p w14:paraId="59DFEC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9.3 乙方应根据本合同的约定，在工程变更确定后 7 天内向甲方提出调整分 包工程价款的报告（附详细预算资料）。乙方逾期未提交报告，视为该项变更不 涉及合同价款的调整。</w:t>
      </w:r>
    </w:p>
    <w:p w14:paraId="3B2DF97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9.4 变更价款的确定</w:t>
      </w:r>
    </w:p>
    <w:p w14:paraId="44B5A26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9.4.1 如合同中有相同的劳务分包单项，变更工程量单价按合同单价计算。</w:t>
      </w:r>
    </w:p>
    <w:p w14:paraId="5B869F6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9.4.2 如合同中没有相同的劳务分包单项，变更工程量单价按相关计价规则</w:t>
      </w:r>
    </w:p>
    <w:p w14:paraId="6A47C6A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确定的单价下浮  15   %计算。本合同以现行有效的《建设工程工程量清单计价 规范（GB 50500-2013）》或其更新后版本为依据。</w:t>
      </w:r>
    </w:p>
    <w:p w14:paraId="7902BC9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9.5 变更价款在最终结算完成后进行支付。</w:t>
      </w:r>
    </w:p>
    <w:p w14:paraId="000454B6">
      <w:pPr>
        <w:spacing w:before="182" w:line="219" w:lineRule="auto"/>
        <w:ind w:left="478"/>
        <w:rPr>
          <w:rFonts w:ascii="宋体" w:hAnsi="宋体" w:eastAsia="宋体" w:cs="宋体"/>
          <w:sz w:val="24"/>
          <w:szCs w:val="24"/>
        </w:rPr>
      </w:pPr>
      <w:r>
        <w:rPr>
          <w:rFonts w:ascii="宋体" w:hAnsi="宋体" w:eastAsia="宋体" w:cs="宋体"/>
          <w:b/>
          <w:bCs/>
          <w:spacing w:val="-3"/>
          <w:sz w:val="24"/>
          <w:szCs w:val="24"/>
        </w:rPr>
        <w:t>第十一条</w:t>
      </w:r>
      <w:r>
        <w:rPr>
          <w:rFonts w:ascii="宋体" w:hAnsi="宋体" w:eastAsia="宋体" w:cs="宋体"/>
          <w:spacing w:val="-3"/>
          <w:sz w:val="24"/>
          <w:szCs w:val="24"/>
        </w:rPr>
        <w:t xml:space="preserve">  </w:t>
      </w:r>
      <w:r>
        <w:rPr>
          <w:rFonts w:ascii="宋体" w:hAnsi="宋体" w:eastAsia="宋体" w:cs="宋体"/>
          <w:b/>
          <w:bCs/>
          <w:spacing w:val="-3"/>
          <w:sz w:val="24"/>
          <w:szCs w:val="24"/>
        </w:rPr>
        <w:t>施工质量验收及保修</w:t>
      </w:r>
    </w:p>
    <w:p w14:paraId="7AA7DC0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10.1 乙方应配合甲方对其施工成果进行初步验收，以及甲方按建设单位或建 设行政主管部门要求进行的涉及乙方工作内容、施工场地的检查、隐蔽工程验收 及工程竣工验收。甲方或施工场地内第三方的工作必须乙方配合时，乙方应按甲 方的指令予以配合。</w:t>
      </w:r>
    </w:p>
    <w:p w14:paraId="32A3302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10.2 乙方应确保所完成施工的质量符合本合同约定的质量标准。乙方施工完 毕，应向甲方提交完工报告，通知甲方验收。甲方与建设单位间的隐蔽工程验收 结果或工程竣工验收结果表明乙方施工质量不合格时，乙方应负责无偿修复，不 延长工期，并承担由此导致的甲方的相关损失。</w:t>
      </w:r>
    </w:p>
    <w:p w14:paraId="2B13D50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10.3 缺陷责任期自工程通过竣工验收之日起计算，期限为 2 年。缺陷责任期 内，由乙方原因造成的缺陷，乙方应负责维修，并承担鉴定及维修费用。如乙方 不维修也不承担费用，甲方可按合同约定扣除质保金，并由乙方承担违约责任。 乙方维修并承担相应费用后，不免除对工程的一般损失赔偿责任。</w:t>
      </w:r>
    </w:p>
    <w:p w14:paraId="4AB7F40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10.4 质量保修期自甲方工程竣工并交付建设单位之日起，至甲方向建设单位 就本工程分部分项工程承担保修责任的保修期满之日止（在签订本合同时，乙方 已知晓甲方与建设单位签订的总承包合同中的相关约定）。</w:t>
      </w:r>
    </w:p>
    <w:p w14:paraId="73D7764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10.5 保修期内，发生保修问题时，如为紧急事故，乙方应于接到通知后 12 小 时内到达现场抢修。一般问题，承包人应于 24 小时内到达现场维修。否则，甲 方可委托第三方实施维修，并由乙方承担实际发生的费用外加 50%的管理费（从 保修金中扣除，不足部分另行追偿），但该保修事故非因乙方责任引发的除外。</w:t>
      </w:r>
    </w:p>
    <w:p w14:paraId="66341FF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10.6 保修期内，乙方联系方式等发生变化后，应及时书面通知甲方，否则， 甲方发出通知之日即视为通知到达之日。</w:t>
      </w:r>
    </w:p>
    <w:p w14:paraId="2A418776">
      <w:pPr>
        <w:spacing w:before="180" w:line="219" w:lineRule="auto"/>
        <w:ind w:left="478"/>
        <w:rPr>
          <w:rFonts w:ascii="宋体" w:hAnsi="宋体" w:eastAsia="宋体" w:cs="宋体"/>
          <w:sz w:val="24"/>
          <w:szCs w:val="24"/>
        </w:rPr>
      </w:pPr>
      <w:r>
        <w:rPr>
          <w:rFonts w:ascii="宋体" w:hAnsi="宋体" w:eastAsia="宋体" w:cs="宋体"/>
          <w:b/>
          <w:bCs/>
          <w:spacing w:val="-3"/>
          <w:sz w:val="24"/>
          <w:szCs w:val="24"/>
        </w:rPr>
        <w:t>第十二条</w:t>
      </w:r>
      <w:r>
        <w:rPr>
          <w:rFonts w:ascii="宋体" w:hAnsi="宋体" w:eastAsia="宋体" w:cs="宋体"/>
          <w:spacing w:val="-3"/>
          <w:sz w:val="24"/>
          <w:szCs w:val="24"/>
        </w:rPr>
        <w:t xml:space="preserve">  </w:t>
      </w:r>
      <w:r>
        <w:rPr>
          <w:rFonts w:ascii="宋体" w:hAnsi="宋体" w:eastAsia="宋体" w:cs="宋体"/>
          <w:b/>
          <w:bCs/>
          <w:spacing w:val="-3"/>
          <w:sz w:val="24"/>
          <w:szCs w:val="24"/>
        </w:rPr>
        <w:t>违约责任、合同的解除</w:t>
      </w:r>
    </w:p>
    <w:p w14:paraId="4C28310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 当发生下列情况之一时，乙方应承担违约责任：</w:t>
      </w:r>
    </w:p>
    <w:p w14:paraId="55BA475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11.1.1 乙方承包的工程项目，不得再进行转包或再分包给他人。否则，甲方 有权单方面解除合同，乙方承担由此给甲方造成的一切损失。乙方在施工中不得 发生严重减员、质量问题不按期整改或工期严重拖后等情况，一旦出现此类情况，甲方有权单方面解除合同，对乙方所完成的不合格工程量不予结算，并有权向乙 方进行索赔。</w:t>
      </w:r>
    </w:p>
    <w:p w14:paraId="6035CA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11.1.2 未经甲方授权或允许，乙方不得擅自与建设单位或监理人建立工作联 系。每发生一次，乙方应向甲方支付 5000 元的违约金。</w:t>
      </w:r>
    </w:p>
    <w:p w14:paraId="3F6B7FA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11.1.3 乙方人员未按合同约定的时间进场，每逾期 1 天，乙方应向甲方支付 合同总价 1%的违约金。乙方在合同约定进场时间 5 日后仍未进场，甲方有权单方 面解除合同，乙方应向甲方支付合同额 10%的违约金。乙方在施工过程中未经甲 方允许私自停工或撤走工人，对合同工期造成严重影响的，甲方有权单方面解除 合同，对乙方已完工程价款下浮 30%进行结算，并有权索赔。</w:t>
      </w:r>
    </w:p>
    <w:p w14:paraId="181F92A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11.1.4 乙方的施工质量、施工进度、施工安全、文明施工、节约料具达不到 合同要求，接到甲方通知后，应按要求限期进行整改。逾期未整改或整改达不到 要求的，甲方有权清除乙方出场。同时，乙方需赔偿由此给甲方造成的一切损失。</w:t>
      </w:r>
    </w:p>
    <w:p w14:paraId="567276C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11.1.5 乙方因自身原因延期交工的，每延误一日，应向甲方支付 5000 元的 违约金。</w:t>
      </w:r>
    </w:p>
    <w:p w14:paraId="6AE42F8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11.1.6 乙方完成的工程内容不符合本合同约定的质量验收标准，乙方应在甲 方限定时间内完成整改。若未按期整改，甲方将按照不符合项对应的合同价进行 双倍扣款。若因乙方施工质量问题，严重影响甲方工程整体交工的，乙方应向甲 方支付本合同价款总额 5% 的违约金。</w:t>
      </w:r>
    </w:p>
    <w:p w14:paraId="030C4A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11.1.7 乙方施工结束退场后，由于乙方原因造成的施工质量问题而影响到甲 方后期其他项目无法施工时，乙方在接到甲方书面或电话通知后 12 小时内进场 整改，由此给甲方造成的一切损失由乙方承担。若乙方接到甲方书面或电话通知 后 24 小时内仍未进场整改，甲方有权另行委托他人实施，所发生的费用在乙方 剩余的工程款中双倍扣除，剩余工程款不足扣减的，乙方应支付差额。</w:t>
      </w:r>
    </w:p>
    <w:p w14:paraId="5203B2E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11.1.8 因乙方未及时支付劳务工人工资，引起社会性、群体性事件或诉讼案 件，乙方应向甲方支付 50000 元/次的违约金。如出现乙方相关人员组织或参与 围堵、冲击甲方或建设单位办公地点，威胁、恐吓甲方或建设单位个人，损毁甲 方或建设单位的财物，阻扰甲方或建设单位的工程现场正常施工等情况，不管起 因如何，乙方均应为此承担全部责任。除对人、财、物进行损害赔偿外，并向甲 方支付 100000 元/次的违约金。</w:t>
      </w:r>
    </w:p>
    <w:p w14:paraId="154336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11.1.9 合同解除的，乙方作业人员及其机械设备、设施料等全部物资应在合</w:t>
      </w:r>
    </w:p>
    <w:p w14:paraId="6E04F1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同解除后  7   日内无条件撤出工地，逾期未撤出的，乙方向甲方支付 3000 元/ 日的违约金。双方应在合同解除后  14    日内完成乙方已完工程量的核对，已 完工程的质量验收，乙方领用甲方材料、机具的退还、核算，应扣款项的确认以 及其他交接工作。如乙方不予配合，甲方有权在对工程现场拍照或邀请监理单位、 建设单位等第三方见证后，即安排其他施工队伍进场施工。届时，甲方拍摄的照 片或第三方的见证记录，将作为界定乙方已完工程量、未完工程量及已完工程质 量的有效证据。</w:t>
      </w:r>
    </w:p>
    <w:p w14:paraId="451B309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11.1.10 乙方应保证在任何情况下甲方免受因乙方原因引起的协助执行或相 关司法协助，否则视为乙方违约，乙方应向甲方支付合同总价 20% 的违约金。</w:t>
      </w:r>
    </w:p>
    <w:p w14:paraId="3522AA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11.1.11 本合同分包工程范围内，乙方生产、经营过程中涉及到第三人知识 产权的，由乙方承担全部责任。</w:t>
      </w:r>
    </w:p>
    <w:p w14:paraId="024208D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11.2 乙方违约的，甲方要求乙方继续履行合同时，乙方在承担上述违约责任 后仍应继续履行合同。</w:t>
      </w:r>
    </w:p>
    <w:p w14:paraId="7954F2C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11.3 乙方违约的，甲方可从当期应付款中直接扣除相应的违约金、赔偿款， 或在结算款中扣减相应价款，或者另行追偿。</w:t>
      </w:r>
    </w:p>
    <w:p w14:paraId="6C9C675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11.4 乙方不服从甲方施工管理制度或指令（关于违章作业的指令除外）的， 甲方有权对乙方进行罚款。该罚款应被理解为乙方应承担的惩罚性违约金，造成 甲方或第三方损失的，还应另行赔偿实际损失。</w:t>
      </w:r>
    </w:p>
    <w:p w14:paraId="678C5886">
      <w:pPr>
        <w:spacing w:before="181" w:line="219" w:lineRule="auto"/>
        <w:ind w:left="478"/>
        <w:rPr>
          <w:rFonts w:ascii="宋体" w:hAnsi="宋体" w:eastAsia="宋体" w:cs="宋体"/>
          <w:b/>
          <w:bCs/>
          <w:spacing w:val="-3"/>
          <w:sz w:val="24"/>
          <w:szCs w:val="24"/>
        </w:rPr>
      </w:pPr>
      <w:r>
        <w:rPr>
          <w:rFonts w:ascii="宋体" w:hAnsi="宋体" w:eastAsia="宋体" w:cs="宋体"/>
          <w:b/>
          <w:bCs/>
          <w:spacing w:val="-3"/>
          <w:sz w:val="24"/>
          <w:szCs w:val="24"/>
        </w:rPr>
        <w:t>第十三条</w:t>
      </w:r>
      <w:r>
        <w:rPr>
          <w:rFonts w:ascii="宋体" w:hAnsi="宋体" w:eastAsia="宋体" w:cs="宋体"/>
          <w:spacing w:val="-3"/>
          <w:sz w:val="24"/>
          <w:szCs w:val="24"/>
        </w:rPr>
        <w:t xml:space="preserve">  </w:t>
      </w:r>
      <w:r>
        <w:rPr>
          <w:rFonts w:ascii="宋体" w:hAnsi="宋体" w:eastAsia="宋体" w:cs="宋体"/>
          <w:b/>
          <w:bCs/>
          <w:spacing w:val="-3"/>
          <w:sz w:val="24"/>
          <w:szCs w:val="24"/>
        </w:rPr>
        <w:t>保险</w:t>
      </w:r>
    </w:p>
    <w:p w14:paraId="721F052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12.1 乙方必须为从事危险作业的职工办理意外伤害保险，为施工场地内自有 生命财产和施工机械设备办理保险，并自行承担保险费用。</w:t>
      </w:r>
    </w:p>
    <w:p w14:paraId="5DDE852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12.2 乙方必须办理并支付保险费用的其他保险： / 。</w:t>
      </w:r>
    </w:p>
    <w:p w14:paraId="58F78A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12.3 保险事故发生时，甲乙双方有责任尽力采取必要的措施，防止或者减少 损失。</w:t>
      </w:r>
    </w:p>
    <w:p w14:paraId="3443D039">
      <w:pPr>
        <w:spacing w:before="182" w:line="219" w:lineRule="auto"/>
        <w:ind w:left="478"/>
        <w:rPr>
          <w:rFonts w:ascii="宋体" w:hAnsi="宋体" w:eastAsia="宋体" w:cs="宋体"/>
          <w:sz w:val="24"/>
          <w:szCs w:val="24"/>
        </w:rPr>
      </w:pPr>
      <w:r>
        <w:rPr>
          <w:rFonts w:ascii="宋体" w:hAnsi="宋体" w:eastAsia="宋体" w:cs="宋体"/>
          <w:b/>
          <w:bCs/>
          <w:spacing w:val="-3"/>
          <w:sz w:val="24"/>
          <w:szCs w:val="24"/>
        </w:rPr>
        <w:t>第十四条</w:t>
      </w:r>
      <w:r>
        <w:rPr>
          <w:rFonts w:ascii="宋体" w:hAnsi="宋体" w:eastAsia="宋体" w:cs="宋体"/>
          <w:spacing w:val="-3"/>
          <w:sz w:val="24"/>
          <w:szCs w:val="24"/>
        </w:rPr>
        <w:t xml:space="preserve">  </w:t>
      </w:r>
      <w:r>
        <w:rPr>
          <w:rFonts w:ascii="宋体" w:hAnsi="宋体" w:eastAsia="宋体" w:cs="宋体"/>
          <w:b/>
          <w:bCs/>
          <w:spacing w:val="-3"/>
          <w:sz w:val="24"/>
          <w:szCs w:val="24"/>
        </w:rPr>
        <w:t>不可抗力</w:t>
      </w:r>
    </w:p>
    <w:p w14:paraId="1A8119EC">
      <w:pPr>
        <w:spacing w:before="180" w:line="346" w:lineRule="auto"/>
        <w:ind w:left="9" w:firstLine="490"/>
        <w:rPr>
          <w:rFonts w:ascii="宋体" w:hAnsi="宋体" w:eastAsia="宋体" w:cs="宋体"/>
          <w:sz w:val="24"/>
          <w:szCs w:val="24"/>
        </w:rPr>
      </w:pPr>
      <w:r>
        <w:rPr>
          <w:rFonts w:ascii="宋体" w:hAnsi="宋体" w:eastAsia="宋体" w:cs="宋体"/>
          <w:spacing w:val="-2"/>
          <w:sz w:val="24"/>
          <w:szCs w:val="24"/>
        </w:rPr>
        <w:t>因不可抗力因素（包括战争、动乱、空中飞行物体坠落、自然灾害、非双方</w:t>
      </w:r>
      <w:r>
        <w:rPr>
          <w:rFonts w:ascii="宋体" w:hAnsi="宋体" w:eastAsia="宋体" w:cs="宋体"/>
          <w:sz w:val="24"/>
          <w:szCs w:val="24"/>
        </w:rPr>
        <w:t xml:space="preserve"> </w:t>
      </w:r>
      <w:r>
        <w:rPr>
          <w:rFonts w:ascii="宋体" w:hAnsi="宋体" w:eastAsia="宋体" w:cs="宋体"/>
          <w:spacing w:val="-6"/>
          <w:sz w:val="24"/>
          <w:szCs w:val="24"/>
        </w:rPr>
        <w:t>责任造成的火灾、爆炸等）所造成的乙方财产损失和人身伤害，由乙方自行承担。</w:t>
      </w:r>
    </w:p>
    <w:p w14:paraId="19221B1D">
      <w:pPr>
        <w:spacing w:before="34" w:line="219" w:lineRule="auto"/>
        <w:ind w:left="478"/>
        <w:rPr>
          <w:rFonts w:ascii="宋体" w:hAnsi="宋体" w:eastAsia="宋体" w:cs="宋体"/>
          <w:sz w:val="24"/>
          <w:szCs w:val="24"/>
        </w:rPr>
      </w:pPr>
      <w:r>
        <w:rPr>
          <w:rFonts w:ascii="宋体" w:hAnsi="宋体" w:eastAsia="宋体" w:cs="宋体"/>
          <w:b/>
          <w:bCs/>
          <w:spacing w:val="-7"/>
          <w:sz w:val="24"/>
          <w:szCs w:val="24"/>
        </w:rPr>
        <w:t>第十五条</w:t>
      </w:r>
      <w:r>
        <w:rPr>
          <w:rFonts w:ascii="宋体" w:hAnsi="宋体" w:eastAsia="宋体" w:cs="宋体"/>
          <w:spacing w:val="9"/>
          <w:sz w:val="24"/>
          <w:szCs w:val="24"/>
        </w:rPr>
        <w:t xml:space="preserve">  </w:t>
      </w:r>
      <w:r>
        <w:rPr>
          <w:rFonts w:ascii="宋体" w:hAnsi="宋体" w:eastAsia="宋体" w:cs="宋体"/>
          <w:b/>
          <w:bCs/>
          <w:spacing w:val="-7"/>
          <w:sz w:val="24"/>
          <w:szCs w:val="24"/>
        </w:rPr>
        <w:t>争议</w:t>
      </w:r>
    </w:p>
    <w:p w14:paraId="6C065490">
      <w:pPr>
        <w:spacing w:before="183" w:line="345" w:lineRule="auto"/>
        <w:ind w:right="80" w:firstLine="484"/>
        <w:rPr>
          <w:rFonts w:ascii="宋体" w:hAnsi="宋体" w:eastAsia="宋体" w:cs="宋体"/>
          <w:spacing w:val="-2"/>
          <w:sz w:val="24"/>
          <w:szCs w:val="24"/>
        </w:rPr>
      </w:pPr>
      <w:r>
        <w:rPr>
          <w:rFonts w:ascii="宋体" w:hAnsi="宋体" w:eastAsia="宋体" w:cs="宋体"/>
          <w:spacing w:val="6"/>
          <w:sz w:val="24"/>
          <w:szCs w:val="24"/>
        </w:rPr>
        <w:t>如甲乙双方在履行合同时发生争议，可以自行和解或要求有关主管</w:t>
      </w:r>
      <w:r>
        <w:rPr>
          <w:rFonts w:ascii="宋体" w:hAnsi="宋体" w:eastAsia="宋体" w:cs="宋体"/>
          <w:spacing w:val="5"/>
          <w:sz w:val="24"/>
          <w:szCs w:val="24"/>
        </w:rPr>
        <w:t>部门调</w:t>
      </w:r>
      <w:r>
        <w:rPr>
          <w:rFonts w:ascii="宋体" w:hAnsi="宋体" w:eastAsia="宋体" w:cs="宋体"/>
          <w:sz w:val="24"/>
          <w:szCs w:val="24"/>
        </w:rPr>
        <w:t xml:space="preserve"> </w:t>
      </w:r>
      <w:r>
        <w:rPr>
          <w:rFonts w:ascii="宋体" w:hAnsi="宋体" w:eastAsia="宋体" w:cs="宋体"/>
          <w:spacing w:val="-1"/>
          <w:sz w:val="24"/>
          <w:szCs w:val="24"/>
        </w:rPr>
        <w:t>解，任何一方不愿和解、调解或和解、调解不成的，可</w:t>
      </w:r>
      <w:r>
        <w:rPr>
          <w:rFonts w:ascii="宋体" w:hAnsi="宋体" w:eastAsia="宋体" w:cs="宋体"/>
          <w:spacing w:val="-2"/>
          <w:sz w:val="24"/>
          <w:szCs w:val="24"/>
        </w:rPr>
        <w:t>向甲方所在地人民法院起</w:t>
      </w:r>
    </w:p>
    <w:p w14:paraId="2EA03C59">
      <w:pPr>
        <w:spacing w:before="48" w:line="220" w:lineRule="auto"/>
        <w:rPr>
          <w:rFonts w:ascii="宋体" w:hAnsi="宋体" w:eastAsia="宋体" w:cs="宋体"/>
          <w:sz w:val="24"/>
          <w:szCs w:val="24"/>
        </w:rPr>
      </w:pPr>
      <w:r>
        <w:rPr>
          <w:rFonts w:ascii="宋体" w:hAnsi="宋体" w:eastAsia="宋体" w:cs="宋体"/>
          <w:spacing w:val="-5"/>
          <w:sz w:val="24"/>
          <w:szCs w:val="24"/>
        </w:rPr>
        <w:t>诉。</w:t>
      </w:r>
    </w:p>
    <w:p w14:paraId="32A6C695">
      <w:pPr>
        <w:spacing w:before="179" w:line="219" w:lineRule="auto"/>
        <w:ind w:left="478"/>
        <w:rPr>
          <w:rFonts w:ascii="宋体" w:hAnsi="宋体" w:eastAsia="宋体" w:cs="宋体"/>
          <w:sz w:val="24"/>
          <w:szCs w:val="24"/>
        </w:rPr>
      </w:pPr>
      <w:r>
        <w:rPr>
          <w:rFonts w:ascii="宋体" w:hAnsi="宋体" w:eastAsia="宋体" w:cs="宋体"/>
          <w:b/>
          <w:bCs/>
          <w:spacing w:val="-2"/>
          <w:sz w:val="24"/>
          <w:szCs w:val="24"/>
        </w:rPr>
        <w:t>第十六条</w:t>
      </w:r>
      <w:r>
        <w:rPr>
          <w:rFonts w:ascii="宋体" w:hAnsi="宋体" w:eastAsia="宋体" w:cs="宋体"/>
          <w:spacing w:val="-2"/>
          <w:sz w:val="24"/>
          <w:szCs w:val="24"/>
        </w:rPr>
        <w:t xml:space="preserve">   </w:t>
      </w:r>
      <w:r>
        <w:rPr>
          <w:rFonts w:ascii="宋体" w:hAnsi="宋体" w:eastAsia="宋体" w:cs="宋体"/>
          <w:b/>
          <w:bCs/>
          <w:spacing w:val="-2"/>
          <w:sz w:val="24"/>
          <w:szCs w:val="24"/>
        </w:rPr>
        <w:t>合同生效、解释与终止</w:t>
      </w:r>
    </w:p>
    <w:p w14:paraId="1B7AC0F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15.1 合同生效：本合同经甲乙双方签字（盖章）之日起生效。</w:t>
      </w:r>
    </w:p>
    <w:p w14:paraId="2F8986C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15.2 合同解释</w:t>
      </w:r>
    </w:p>
    <w:p w14:paraId="7217FC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15.2.1 本合同的招标文件、投标文件及承诺均可作为合同的附件，具有同等 法律效力，若内容发生冲突，文件解释为（以顺序在前的优先）：</w:t>
      </w:r>
    </w:p>
    <w:p w14:paraId="18387A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I    本合同书</w:t>
      </w:r>
    </w:p>
    <w:p w14:paraId="286E33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II   标准、规范及技术文件 III  图纸</w:t>
      </w:r>
    </w:p>
    <w:p w14:paraId="5EF1966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IV   中标通知书</w:t>
      </w:r>
    </w:p>
    <w:p w14:paraId="3BB6FA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V    招标会现场承诺 VI   招标书及其附件 VII  投标书及其附件 VIII 报价单或预算书</w:t>
      </w:r>
    </w:p>
    <w:p w14:paraId="2F43A45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15.2.2 合同签订后双方的往来函件及变更协议也作为合同的组成部分，解释 顺序以时间在后的优先。</w:t>
      </w:r>
    </w:p>
    <w:p w14:paraId="0530554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15.2.3 合同如有未尽事宜，可比照甲方与建设单位所签订的总包合同对应条 款办理，亦可另行签订补充合同。补充合同须经双方共同协商，做出补充规定， 补充规定及附件与本合同具有同等效力。</w:t>
      </w:r>
    </w:p>
    <w:p w14:paraId="6F7CCE2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15.3 合同份数</w:t>
      </w:r>
    </w:p>
    <w:p w14:paraId="04903DB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本合同一式 陆 份，合同正本 贰 份，副本 肆 份，甲方持合同正本 壹 份， 副本 叁 份，乙方持合同正本 壹 份，副本 壹 份。</w:t>
      </w:r>
    </w:p>
    <w:p w14:paraId="18C668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15.4 合同终止</w:t>
      </w:r>
    </w:p>
    <w:p w14:paraId="1817CF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甲乙双方履行完合同的全部义务，工程竣工验交合格，确认无遗留问题，结 清所有工程款项后,除保修和解决争议的条款外，其余条款即告终止。</w:t>
      </w:r>
    </w:p>
    <w:p w14:paraId="5B4B08B5">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napToGrid/>
          <w:color w:val="000000"/>
          <w:kern w:val="2"/>
          <w:sz w:val="24"/>
          <w:szCs w:val="24"/>
          <w:lang w:val="en-US" w:eastAsia="zh-CN"/>
        </w:rPr>
        <w:t xml:space="preserve">15.5 其它约定：   /    </w:t>
      </w:r>
      <w:r>
        <w:rPr>
          <w:rFonts w:ascii="宋体" w:hAnsi="宋体" w:eastAsia="宋体" w:cs="宋体"/>
          <w:spacing w:val="-3"/>
          <w:sz w:val="24"/>
          <w:szCs w:val="24"/>
        </w:rPr>
        <w:t>（以下无正文）</w:t>
      </w:r>
    </w:p>
    <w:p w14:paraId="69EFB04C">
      <w:pPr>
        <w:spacing w:before="31" w:line="219" w:lineRule="auto"/>
        <w:ind w:left="499"/>
        <w:rPr>
          <w:rFonts w:ascii="宋体" w:hAnsi="宋体" w:eastAsia="宋体" w:cs="宋体"/>
          <w:sz w:val="24"/>
          <w:szCs w:val="24"/>
        </w:rPr>
      </w:pPr>
      <w:r>
        <w:rPr>
          <w:rFonts w:ascii="宋体" w:hAnsi="宋体" w:eastAsia="宋体" w:cs="宋体"/>
          <w:spacing w:val="-15"/>
          <w:sz w:val="24"/>
          <w:szCs w:val="24"/>
        </w:rPr>
        <w:t>附件</w:t>
      </w:r>
    </w:p>
    <w:p w14:paraId="6FFFBBAF">
      <w:pPr>
        <w:spacing w:before="78" w:line="219" w:lineRule="auto"/>
        <w:ind w:left="499"/>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1：甲方供应物资清单</w:t>
      </w:r>
    </w:p>
    <w:p w14:paraId="13F56B0F">
      <w:pPr>
        <w:spacing w:line="219" w:lineRule="auto"/>
        <w:rPr>
          <w:rFonts w:ascii="宋体" w:hAnsi="宋体" w:eastAsia="宋体" w:cs="宋体"/>
          <w:sz w:val="24"/>
          <w:szCs w:val="24"/>
        </w:rPr>
      </w:pPr>
    </w:p>
    <w:p w14:paraId="60703CF3">
      <w:pPr>
        <w:spacing w:before="47" w:line="219" w:lineRule="auto"/>
        <w:ind w:left="499"/>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2"/>
          <w:sz w:val="24"/>
          <w:szCs w:val="24"/>
        </w:rPr>
        <w:t xml:space="preserve"> </w:t>
      </w:r>
      <w:r>
        <w:rPr>
          <w:rFonts w:ascii="宋体" w:hAnsi="宋体" w:eastAsia="宋体" w:cs="宋体"/>
          <w:spacing w:val="-3"/>
          <w:sz w:val="24"/>
          <w:szCs w:val="24"/>
        </w:rPr>
        <w:t>2：建设工程安全生产管理协议</w:t>
      </w:r>
    </w:p>
    <w:p w14:paraId="52DA287C">
      <w:pPr>
        <w:pStyle w:val="6"/>
        <w:spacing w:line="381" w:lineRule="auto"/>
      </w:pPr>
    </w:p>
    <w:p w14:paraId="3D9387BD">
      <w:pPr>
        <w:spacing w:before="78" w:line="219" w:lineRule="auto"/>
        <w:ind w:left="499"/>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5"/>
          <w:sz w:val="24"/>
          <w:szCs w:val="24"/>
        </w:rPr>
        <w:t xml:space="preserve"> </w:t>
      </w:r>
      <w:r>
        <w:rPr>
          <w:rFonts w:ascii="宋体" w:hAnsi="宋体" w:eastAsia="宋体" w:cs="宋体"/>
          <w:spacing w:val="-3"/>
          <w:sz w:val="24"/>
          <w:szCs w:val="24"/>
        </w:rPr>
        <w:t>3：现场管理罚款标准明细表</w:t>
      </w:r>
    </w:p>
    <w:p w14:paraId="2562B3C5">
      <w:pPr>
        <w:spacing w:before="220"/>
      </w:pPr>
    </w:p>
    <w:tbl>
      <w:tblPr>
        <w:tblStyle w:val="9"/>
        <w:tblW w:w="9564" w:type="dxa"/>
        <w:tblInd w:w="-4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7"/>
        <w:gridCol w:w="4777"/>
      </w:tblGrid>
      <w:tr w14:paraId="168029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0" w:hRule="atLeast"/>
        </w:trPr>
        <w:tc>
          <w:tcPr>
            <w:tcW w:w="4787" w:type="dxa"/>
            <w:vAlign w:val="center"/>
          </w:tcPr>
          <w:p w14:paraId="3A45FD13">
            <w:pPr>
              <w:pStyle w:val="10"/>
              <w:spacing w:before="79" w:line="258" w:lineRule="auto"/>
              <w:ind w:left="17" w:right="112" w:firstLine="14"/>
              <w:jc w:val="left"/>
              <w:rPr>
                <w:sz w:val="24"/>
                <w:szCs w:val="24"/>
              </w:rPr>
            </w:pPr>
            <w:r>
              <w:rPr>
                <w:spacing w:val="5"/>
                <w:sz w:val="24"/>
                <w:szCs w:val="24"/>
              </w:rPr>
              <w:t>甲方</w:t>
            </w:r>
            <w:r>
              <w:rPr>
                <w:rFonts w:hint="eastAsia"/>
                <w:spacing w:val="-11"/>
                <w:sz w:val="24"/>
                <w:szCs w:val="24"/>
                <w:lang w:val="en-US" w:eastAsia="zh-CN"/>
              </w:rPr>
              <w:t>:</w:t>
            </w:r>
            <w:r>
              <w:rPr>
                <w:spacing w:val="-11"/>
                <w:sz w:val="24"/>
                <w:szCs w:val="24"/>
              </w:rPr>
              <w:t>（</w:t>
            </w:r>
            <w:r>
              <w:rPr>
                <w:spacing w:val="5"/>
                <w:sz w:val="24"/>
                <w:szCs w:val="24"/>
              </w:rPr>
              <w:t>公章）陕西燃气集团工程有</w:t>
            </w:r>
            <w:r>
              <w:rPr>
                <w:spacing w:val="-9"/>
                <w:sz w:val="24"/>
                <w:szCs w:val="24"/>
              </w:rPr>
              <w:t>限公司</w:t>
            </w:r>
          </w:p>
        </w:tc>
        <w:tc>
          <w:tcPr>
            <w:tcW w:w="4777" w:type="dxa"/>
            <w:vAlign w:val="center"/>
          </w:tcPr>
          <w:p w14:paraId="3EDBB5C1">
            <w:pPr>
              <w:pStyle w:val="10"/>
              <w:spacing w:line="218" w:lineRule="auto"/>
              <w:ind w:left="136"/>
              <w:jc w:val="left"/>
              <w:rPr>
                <w:sz w:val="24"/>
                <w:szCs w:val="24"/>
              </w:rPr>
            </w:pPr>
            <w:r>
              <w:rPr>
                <w:sz w:val="24"/>
                <w:szCs w:val="24"/>
              </w:rPr>
              <w:t>乙方</w:t>
            </w:r>
            <w:r>
              <w:rPr>
                <w:spacing w:val="-17"/>
                <w:sz w:val="24"/>
                <w:szCs w:val="24"/>
              </w:rPr>
              <w:t>：（</w:t>
            </w:r>
            <w:r>
              <w:rPr>
                <w:sz w:val="24"/>
                <w:szCs w:val="24"/>
              </w:rPr>
              <w:t>公章）</w:t>
            </w:r>
          </w:p>
        </w:tc>
      </w:tr>
      <w:tr w14:paraId="04022F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4" w:hRule="atLeast"/>
        </w:trPr>
        <w:tc>
          <w:tcPr>
            <w:tcW w:w="4787" w:type="dxa"/>
            <w:vAlign w:val="center"/>
          </w:tcPr>
          <w:p w14:paraId="29180D5A">
            <w:pPr>
              <w:pStyle w:val="10"/>
              <w:spacing w:before="119" w:line="258" w:lineRule="auto"/>
              <w:ind w:left="4" w:right="112" w:hanging="4"/>
              <w:jc w:val="left"/>
              <w:rPr>
                <w:sz w:val="24"/>
                <w:szCs w:val="24"/>
              </w:rPr>
            </w:pPr>
            <w:r>
              <w:rPr>
                <w:spacing w:val="4"/>
                <w:sz w:val="24"/>
                <w:szCs w:val="24"/>
              </w:rPr>
              <w:t>住所：西安市经开区开元路</w:t>
            </w:r>
            <w:r>
              <w:rPr>
                <w:spacing w:val="-34"/>
                <w:sz w:val="24"/>
                <w:szCs w:val="24"/>
              </w:rPr>
              <w:t xml:space="preserve"> </w:t>
            </w:r>
            <w:r>
              <w:rPr>
                <w:spacing w:val="4"/>
                <w:sz w:val="24"/>
                <w:szCs w:val="24"/>
              </w:rPr>
              <w:t>2</w:t>
            </w:r>
            <w:r>
              <w:rPr>
                <w:spacing w:val="-33"/>
                <w:sz w:val="24"/>
                <w:szCs w:val="24"/>
              </w:rPr>
              <w:t xml:space="preserve"> </w:t>
            </w:r>
            <w:r>
              <w:rPr>
                <w:spacing w:val="4"/>
                <w:sz w:val="24"/>
                <w:szCs w:val="24"/>
              </w:rPr>
              <w:t>号</w:t>
            </w:r>
            <w:r>
              <w:rPr>
                <w:spacing w:val="-40"/>
                <w:sz w:val="24"/>
                <w:szCs w:val="24"/>
              </w:rPr>
              <w:t xml:space="preserve"> </w:t>
            </w:r>
            <w:r>
              <w:rPr>
                <w:spacing w:val="4"/>
                <w:sz w:val="24"/>
                <w:szCs w:val="24"/>
              </w:rPr>
              <w:t>925</w:t>
            </w:r>
            <w:r>
              <w:rPr>
                <w:sz w:val="24"/>
                <w:szCs w:val="24"/>
              </w:rPr>
              <w:t xml:space="preserve"> 室</w:t>
            </w:r>
          </w:p>
        </w:tc>
        <w:tc>
          <w:tcPr>
            <w:tcW w:w="4777" w:type="dxa"/>
            <w:vAlign w:val="center"/>
          </w:tcPr>
          <w:p w14:paraId="1EBB7986">
            <w:pPr>
              <w:pStyle w:val="10"/>
              <w:spacing w:before="39" w:line="220" w:lineRule="auto"/>
              <w:ind w:left="112"/>
              <w:jc w:val="left"/>
              <w:rPr>
                <w:sz w:val="24"/>
                <w:szCs w:val="24"/>
              </w:rPr>
            </w:pPr>
            <w:r>
              <w:rPr>
                <w:spacing w:val="-3"/>
                <w:sz w:val="24"/>
                <w:szCs w:val="24"/>
              </w:rPr>
              <w:t>住所：</w:t>
            </w:r>
          </w:p>
        </w:tc>
      </w:tr>
      <w:tr w14:paraId="2DAAE4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8" w:hRule="atLeast"/>
        </w:trPr>
        <w:tc>
          <w:tcPr>
            <w:tcW w:w="4787" w:type="dxa"/>
            <w:vAlign w:val="center"/>
          </w:tcPr>
          <w:p w14:paraId="5DC74200">
            <w:pPr>
              <w:pStyle w:val="10"/>
              <w:spacing w:before="41" w:line="219" w:lineRule="auto"/>
              <w:ind w:left="1"/>
              <w:jc w:val="left"/>
              <w:rPr>
                <w:sz w:val="24"/>
                <w:szCs w:val="24"/>
              </w:rPr>
            </w:pPr>
            <w:r>
              <w:rPr>
                <w:spacing w:val="-1"/>
                <w:sz w:val="24"/>
                <w:szCs w:val="24"/>
              </w:rPr>
              <w:t>法定代表人或委托代理人：</w:t>
            </w:r>
          </w:p>
        </w:tc>
        <w:tc>
          <w:tcPr>
            <w:tcW w:w="4777" w:type="dxa"/>
            <w:vAlign w:val="center"/>
          </w:tcPr>
          <w:p w14:paraId="465E52B3">
            <w:pPr>
              <w:pStyle w:val="10"/>
              <w:spacing w:before="41" w:line="219" w:lineRule="auto"/>
              <w:jc w:val="left"/>
              <w:rPr>
                <w:sz w:val="24"/>
                <w:szCs w:val="24"/>
              </w:rPr>
            </w:pPr>
            <w:r>
              <w:rPr>
                <w:spacing w:val="-16"/>
                <w:sz w:val="24"/>
                <w:szCs w:val="24"/>
              </w:rPr>
              <w:t>法定代表人或委托代理人：</w:t>
            </w:r>
          </w:p>
        </w:tc>
      </w:tr>
      <w:tr w14:paraId="0F01F2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1" w:hRule="atLeast"/>
        </w:trPr>
        <w:tc>
          <w:tcPr>
            <w:tcW w:w="4787" w:type="dxa"/>
            <w:vAlign w:val="top"/>
          </w:tcPr>
          <w:p w14:paraId="0AF82775">
            <w:pPr>
              <w:pStyle w:val="10"/>
              <w:spacing w:before="78" w:line="258" w:lineRule="auto"/>
              <w:ind w:left="9" w:right="112" w:hanging="8"/>
              <w:rPr>
                <w:sz w:val="24"/>
                <w:szCs w:val="24"/>
              </w:rPr>
            </w:pPr>
            <w:r>
              <w:rPr>
                <w:spacing w:val="5"/>
                <w:sz w:val="24"/>
                <w:szCs w:val="24"/>
              </w:rPr>
              <w:t>开户银行：中国民生银行股份有限公</w:t>
            </w:r>
            <w:r>
              <w:rPr>
                <w:sz w:val="24"/>
                <w:szCs w:val="24"/>
              </w:rPr>
              <w:t xml:space="preserve"> </w:t>
            </w:r>
            <w:r>
              <w:rPr>
                <w:spacing w:val="-2"/>
                <w:sz w:val="24"/>
                <w:szCs w:val="24"/>
              </w:rPr>
              <w:t>司西安经济技术开发区支行</w:t>
            </w:r>
          </w:p>
        </w:tc>
        <w:tc>
          <w:tcPr>
            <w:tcW w:w="4777" w:type="dxa"/>
            <w:vAlign w:val="top"/>
          </w:tcPr>
          <w:p w14:paraId="16031A71">
            <w:pPr>
              <w:pStyle w:val="10"/>
              <w:spacing w:before="78" w:line="220" w:lineRule="auto"/>
              <w:ind w:left="114"/>
              <w:rPr>
                <w:sz w:val="24"/>
                <w:szCs w:val="24"/>
              </w:rPr>
            </w:pPr>
            <w:r>
              <w:rPr>
                <w:spacing w:val="-3"/>
                <w:sz w:val="24"/>
                <w:szCs w:val="24"/>
              </w:rPr>
              <w:t>开户银行：</w:t>
            </w:r>
          </w:p>
        </w:tc>
      </w:tr>
      <w:tr w14:paraId="415AF3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1" w:hRule="atLeast"/>
        </w:trPr>
        <w:tc>
          <w:tcPr>
            <w:tcW w:w="4787" w:type="dxa"/>
            <w:vAlign w:val="center"/>
          </w:tcPr>
          <w:p w14:paraId="09959F8D">
            <w:pPr>
              <w:pStyle w:val="10"/>
              <w:spacing w:before="40" w:line="176" w:lineRule="auto"/>
              <w:ind w:left="4"/>
              <w:jc w:val="left"/>
              <w:rPr>
                <w:sz w:val="24"/>
                <w:szCs w:val="24"/>
              </w:rPr>
            </w:pPr>
            <w:r>
              <w:rPr>
                <w:spacing w:val="-2"/>
                <w:sz w:val="24"/>
                <w:szCs w:val="24"/>
              </w:rPr>
              <w:t>账号：695245636</w:t>
            </w:r>
          </w:p>
        </w:tc>
        <w:tc>
          <w:tcPr>
            <w:tcW w:w="4777" w:type="dxa"/>
            <w:vAlign w:val="center"/>
          </w:tcPr>
          <w:p w14:paraId="252AC1CD">
            <w:pPr>
              <w:pStyle w:val="10"/>
              <w:spacing w:before="40" w:line="176" w:lineRule="auto"/>
              <w:ind w:left="117"/>
              <w:jc w:val="left"/>
              <w:rPr>
                <w:sz w:val="24"/>
                <w:szCs w:val="24"/>
              </w:rPr>
            </w:pPr>
            <w:r>
              <w:rPr>
                <w:spacing w:val="-5"/>
                <w:sz w:val="24"/>
                <w:szCs w:val="24"/>
              </w:rPr>
              <w:t>账号：</w:t>
            </w:r>
          </w:p>
        </w:tc>
      </w:tr>
    </w:tbl>
    <w:p w14:paraId="733DAA0D">
      <w:pPr>
        <w:pStyle w:val="2"/>
        <w:ind w:left="0" w:leftChars="0" w:firstLine="0" w:firstLineChars="0"/>
        <w:rPr>
          <w:rFonts w:ascii="宋体" w:hAnsi="宋体" w:eastAsia="宋体" w:cs="宋体"/>
          <w:spacing w:val="-2"/>
          <w:sz w:val="24"/>
          <w:szCs w:val="24"/>
        </w:rPr>
        <w:sectPr>
          <w:footerReference r:id="rId8" w:type="default"/>
          <w:pgSz w:w="11910" w:h="16850"/>
          <w:pgMar w:top="1419" w:right="1706" w:bottom="1343" w:left="1767" w:header="0" w:footer="1181" w:gutter="0"/>
          <w:cols w:space="720" w:num="1"/>
        </w:sectPr>
      </w:pPr>
    </w:p>
    <w:p w14:paraId="215CF9F8">
      <w:pPr>
        <w:spacing w:before="47" w:line="219" w:lineRule="auto"/>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33"/>
          <w:sz w:val="24"/>
          <w:szCs w:val="24"/>
        </w:rPr>
        <w:t xml:space="preserve"> </w:t>
      </w:r>
      <w:r>
        <w:rPr>
          <w:rFonts w:ascii="宋体" w:hAnsi="宋体" w:eastAsia="宋体" w:cs="宋体"/>
          <w:spacing w:val="-14"/>
          <w:sz w:val="24"/>
          <w:szCs w:val="24"/>
        </w:rPr>
        <w:t>1：</w:t>
      </w:r>
    </w:p>
    <w:p w14:paraId="136AC891">
      <w:pPr>
        <w:spacing w:before="191" w:line="219" w:lineRule="auto"/>
        <w:ind w:left="3292"/>
        <w:rPr>
          <w:rFonts w:ascii="宋体" w:hAnsi="宋体" w:eastAsia="宋体" w:cs="宋体"/>
          <w:sz w:val="30"/>
          <w:szCs w:val="30"/>
        </w:rPr>
      </w:pPr>
      <w:r>
        <w:rPr>
          <w:rFonts w:ascii="宋体" w:hAnsi="宋体" w:eastAsia="宋体" w:cs="宋体"/>
          <w:b/>
          <w:bCs/>
          <w:spacing w:val="-9"/>
          <w:sz w:val="30"/>
          <w:szCs w:val="30"/>
        </w:rPr>
        <w:t>甲方供应物资清单</w:t>
      </w:r>
    </w:p>
    <w:p w14:paraId="516F928E">
      <w:pPr>
        <w:spacing w:line="182" w:lineRule="exact"/>
      </w:pPr>
    </w:p>
    <w:tbl>
      <w:tblPr>
        <w:tblStyle w:val="9"/>
        <w:tblW w:w="8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4017"/>
        <w:gridCol w:w="1284"/>
        <w:gridCol w:w="1087"/>
        <w:gridCol w:w="1679"/>
      </w:tblGrid>
      <w:tr w14:paraId="3FC4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20" w:type="dxa"/>
            <w:vAlign w:val="top"/>
          </w:tcPr>
          <w:p w14:paraId="30DBAD14">
            <w:pPr>
              <w:pStyle w:val="10"/>
              <w:spacing w:before="145" w:line="230" w:lineRule="auto"/>
              <w:ind w:left="306"/>
              <w:rPr>
                <w:color w:val="auto"/>
                <w:sz w:val="19"/>
                <w:szCs w:val="19"/>
              </w:rPr>
            </w:pPr>
            <w:r>
              <w:rPr>
                <w:color w:val="auto"/>
                <w:spacing w:val="5"/>
                <w:sz w:val="19"/>
                <w:szCs w:val="19"/>
              </w:rPr>
              <w:t>序号</w:t>
            </w:r>
          </w:p>
        </w:tc>
        <w:tc>
          <w:tcPr>
            <w:tcW w:w="4017" w:type="dxa"/>
            <w:vAlign w:val="top"/>
          </w:tcPr>
          <w:p w14:paraId="5D0D909F">
            <w:pPr>
              <w:pStyle w:val="10"/>
              <w:spacing w:before="146" w:line="227" w:lineRule="auto"/>
              <w:ind w:left="1020"/>
              <w:rPr>
                <w:color w:val="auto"/>
                <w:sz w:val="19"/>
                <w:szCs w:val="19"/>
              </w:rPr>
            </w:pPr>
            <w:r>
              <w:rPr>
                <w:color w:val="auto"/>
                <w:spacing w:val="9"/>
                <w:sz w:val="19"/>
                <w:szCs w:val="19"/>
              </w:rPr>
              <w:t>材料名称及规格型号</w:t>
            </w:r>
          </w:p>
        </w:tc>
        <w:tc>
          <w:tcPr>
            <w:tcW w:w="1284" w:type="dxa"/>
            <w:vAlign w:val="top"/>
          </w:tcPr>
          <w:p w14:paraId="3C7E7937">
            <w:pPr>
              <w:pStyle w:val="10"/>
              <w:spacing w:before="146" w:line="229" w:lineRule="auto"/>
              <w:ind w:left="449"/>
              <w:rPr>
                <w:color w:val="auto"/>
                <w:sz w:val="19"/>
                <w:szCs w:val="19"/>
              </w:rPr>
            </w:pPr>
            <w:r>
              <w:rPr>
                <w:color w:val="auto"/>
                <w:spacing w:val="4"/>
                <w:sz w:val="19"/>
                <w:szCs w:val="19"/>
              </w:rPr>
              <w:t>单位</w:t>
            </w:r>
          </w:p>
        </w:tc>
        <w:tc>
          <w:tcPr>
            <w:tcW w:w="1087" w:type="dxa"/>
            <w:vAlign w:val="top"/>
          </w:tcPr>
          <w:p w14:paraId="4E3E9D2E">
            <w:pPr>
              <w:pStyle w:val="10"/>
              <w:spacing w:before="146" w:line="228" w:lineRule="auto"/>
              <w:ind w:left="351"/>
              <w:rPr>
                <w:color w:val="auto"/>
                <w:sz w:val="19"/>
                <w:szCs w:val="19"/>
              </w:rPr>
            </w:pPr>
            <w:r>
              <w:rPr>
                <w:color w:val="auto"/>
                <w:spacing w:val="4"/>
                <w:sz w:val="19"/>
                <w:szCs w:val="19"/>
              </w:rPr>
              <w:t>数量</w:t>
            </w:r>
          </w:p>
        </w:tc>
        <w:tc>
          <w:tcPr>
            <w:tcW w:w="1679" w:type="dxa"/>
            <w:vAlign w:val="top"/>
          </w:tcPr>
          <w:p w14:paraId="0176535E">
            <w:pPr>
              <w:pStyle w:val="10"/>
              <w:spacing w:before="145" w:line="230" w:lineRule="auto"/>
              <w:ind w:left="647"/>
              <w:rPr>
                <w:color w:val="auto"/>
                <w:sz w:val="19"/>
                <w:szCs w:val="19"/>
              </w:rPr>
            </w:pPr>
            <w:r>
              <w:rPr>
                <w:color w:val="auto"/>
                <w:spacing w:val="4"/>
                <w:sz w:val="19"/>
                <w:szCs w:val="19"/>
              </w:rPr>
              <w:t>备注</w:t>
            </w:r>
          </w:p>
        </w:tc>
      </w:tr>
      <w:tr w14:paraId="7BC91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39027904">
            <w:pPr>
              <w:pStyle w:val="10"/>
              <w:spacing w:before="131" w:line="190" w:lineRule="auto"/>
              <w:ind w:left="471"/>
              <w:rPr>
                <w:color w:val="auto"/>
                <w:sz w:val="19"/>
                <w:szCs w:val="19"/>
              </w:rPr>
            </w:pPr>
            <w:r>
              <w:rPr>
                <w:color w:val="auto"/>
                <w:sz w:val="19"/>
                <w:szCs w:val="19"/>
              </w:rPr>
              <w:t>1</w:t>
            </w:r>
          </w:p>
        </w:tc>
        <w:tc>
          <w:tcPr>
            <w:tcW w:w="4017" w:type="dxa"/>
            <w:vAlign w:val="top"/>
          </w:tcPr>
          <w:p w14:paraId="0B373A7E">
            <w:pPr>
              <w:pStyle w:val="10"/>
              <w:spacing w:before="101" w:line="228" w:lineRule="auto"/>
              <w:ind w:left="1026"/>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67EBAADD">
            <w:pPr>
              <w:pStyle w:val="10"/>
              <w:spacing w:before="101"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2B9EC913">
            <w:pPr>
              <w:pStyle w:val="10"/>
              <w:spacing w:before="132" w:line="189" w:lineRule="auto"/>
              <w:ind w:left="300"/>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2890490F">
            <w:pPr>
              <w:rPr>
                <w:rFonts w:ascii="Arial"/>
                <w:color w:val="auto"/>
                <w:sz w:val="21"/>
              </w:rPr>
            </w:pPr>
          </w:p>
        </w:tc>
      </w:tr>
      <w:tr w14:paraId="20916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69F276B2">
            <w:pPr>
              <w:pStyle w:val="10"/>
              <w:spacing w:before="133" w:line="189" w:lineRule="auto"/>
              <w:ind w:left="458"/>
              <w:rPr>
                <w:color w:val="auto"/>
                <w:sz w:val="19"/>
                <w:szCs w:val="19"/>
              </w:rPr>
            </w:pPr>
            <w:r>
              <w:rPr>
                <w:color w:val="auto"/>
                <w:sz w:val="19"/>
                <w:szCs w:val="19"/>
              </w:rPr>
              <w:t>2</w:t>
            </w:r>
          </w:p>
        </w:tc>
        <w:tc>
          <w:tcPr>
            <w:tcW w:w="4017" w:type="dxa"/>
            <w:vAlign w:val="top"/>
          </w:tcPr>
          <w:p w14:paraId="020E0626">
            <w:pPr>
              <w:pStyle w:val="10"/>
              <w:spacing w:before="102" w:line="228" w:lineRule="auto"/>
              <w:ind w:left="1026"/>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5CB271C6">
            <w:pPr>
              <w:pStyle w:val="10"/>
              <w:spacing w:before="102" w:line="257" w:lineRule="exact"/>
              <w:ind w:left="591"/>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0EE3196B">
            <w:pPr>
              <w:pStyle w:val="10"/>
              <w:spacing w:before="133" w:line="189" w:lineRule="auto"/>
              <w:ind w:left="352"/>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3E6E50B0">
            <w:pPr>
              <w:rPr>
                <w:rFonts w:ascii="Arial"/>
                <w:color w:val="auto"/>
                <w:sz w:val="21"/>
              </w:rPr>
            </w:pPr>
          </w:p>
        </w:tc>
      </w:tr>
      <w:tr w14:paraId="74D4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03B7E067">
            <w:pPr>
              <w:pStyle w:val="10"/>
              <w:spacing w:before="135" w:line="189" w:lineRule="auto"/>
              <w:ind w:left="460"/>
              <w:rPr>
                <w:color w:val="auto"/>
                <w:sz w:val="19"/>
                <w:szCs w:val="19"/>
              </w:rPr>
            </w:pPr>
            <w:r>
              <w:rPr>
                <w:color w:val="auto"/>
                <w:sz w:val="19"/>
                <w:szCs w:val="19"/>
              </w:rPr>
              <w:t>3</w:t>
            </w:r>
          </w:p>
        </w:tc>
        <w:tc>
          <w:tcPr>
            <w:tcW w:w="4017" w:type="dxa"/>
            <w:vAlign w:val="top"/>
          </w:tcPr>
          <w:p w14:paraId="21FB98FC">
            <w:pPr>
              <w:pStyle w:val="10"/>
              <w:spacing w:before="103" w:line="228" w:lineRule="auto"/>
              <w:ind w:left="1118"/>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2FAFDA86">
            <w:pPr>
              <w:pStyle w:val="10"/>
              <w:spacing w:before="103"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14C3806C">
            <w:pPr>
              <w:pStyle w:val="10"/>
              <w:spacing w:before="135"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34CA2CAD">
            <w:pPr>
              <w:rPr>
                <w:rFonts w:ascii="Arial"/>
                <w:color w:val="auto"/>
                <w:sz w:val="21"/>
              </w:rPr>
            </w:pPr>
          </w:p>
        </w:tc>
      </w:tr>
      <w:tr w14:paraId="75E5C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5E6DB7A5">
            <w:pPr>
              <w:pStyle w:val="10"/>
              <w:spacing w:before="136" w:line="189" w:lineRule="auto"/>
              <w:ind w:left="455"/>
              <w:rPr>
                <w:color w:val="auto"/>
                <w:sz w:val="19"/>
                <w:szCs w:val="19"/>
              </w:rPr>
            </w:pPr>
            <w:r>
              <w:rPr>
                <w:color w:val="auto"/>
                <w:sz w:val="19"/>
                <w:szCs w:val="19"/>
              </w:rPr>
              <w:t>4</w:t>
            </w:r>
          </w:p>
        </w:tc>
        <w:tc>
          <w:tcPr>
            <w:tcW w:w="4017" w:type="dxa"/>
            <w:vAlign w:val="top"/>
          </w:tcPr>
          <w:p w14:paraId="1E58DB55">
            <w:pPr>
              <w:pStyle w:val="10"/>
              <w:spacing w:before="105" w:line="228" w:lineRule="auto"/>
              <w:ind w:left="1118"/>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178DEF8A">
            <w:pPr>
              <w:pStyle w:val="10"/>
              <w:spacing w:before="105"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591EE407">
            <w:pPr>
              <w:pStyle w:val="10"/>
              <w:spacing w:before="136"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46A94AE3">
            <w:pPr>
              <w:rPr>
                <w:rFonts w:ascii="Arial"/>
                <w:color w:val="auto"/>
                <w:sz w:val="21"/>
              </w:rPr>
            </w:pPr>
          </w:p>
        </w:tc>
      </w:tr>
      <w:tr w14:paraId="7FDC2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291E958F">
            <w:pPr>
              <w:pStyle w:val="10"/>
              <w:spacing w:before="139" w:line="188" w:lineRule="auto"/>
              <w:ind w:left="460"/>
              <w:rPr>
                <w:color w:val="auto"/>
                <w:sz w:val="19"/>
                <w:szCs w:val="19"/>
              </w:rPr>
            </w:pPr>
            <w:r>
              <w:rPr>
                <w:color w:val="auto"/>
                <w:sz w:val="19"/>
                <w:szCs w:val="19"/>
              </w:rPr>
              <w:t>5</w:t>
            </w:r>
          </w:p>
        </w:tc>
        <w:tc>
          <w:tcPr>
            <w:tcW w:w="4017" w:type="dxa"/>
            <w:vAlign w:val="top"/>
          </w:tcPr>
          <w:p w14:paraId="124F6DA5">
            <w:pPr>
              <w:pStyle w:val="10"/>
              <w:spacing w:before="106" w:line="228" w:lineRule="auto"/>
              <w:ind w:firstLine="1140" w:firstLineChars="600"/>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5B1480C6">
            <w:pPr>
              <w:pStyle w:val="10"/>
              <w:spacing w:before="106"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1BE24539">
            <w:pPr>
              <w:pStyle w:val="10"/>
              <w:spacing w:before="138"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71108600">
            <w:pPr>
              <w:rPr>
                <w:rFonts w:ascii="Arial"/>
                <w:color w:val="auto"/>
                <w:sz w:val="21"/>
              </w:rPr>
            </w:pPr>
          </w:p>
        </w:tc>
      </w:tr>
      <w:tr w14:paraId="4C77A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17627379">
            <w:pPr>
              <w:pStyle w:val="10"/>
              <w:spacing w:before="138" w:line="189" w:lineRule="auto"/>
              <w:ind w:left="457"/>
              <w:rPr>
                <w:color w:val="auto"/>
                <w:sz w:val="19"/>
                <w:szCs w:val="19"/>
              </w:rPr>
            </w:pPr>
            <w:r>
              <w:rPr>
                <w:color w:val="auto"/>
                <w:sz w:val="19"/>
                <w:szCs w:val="19"/>
              </w:rPr>
              <w:t>6</w:t>
            </w:r>
          </w:p>
        </w:tc>
        <w:tc>
          <w:tcPr>
            <w:tcW w:w="4017" w:type="dxa"/>
            <w:vAlign w:val="top"/>
          </w:tcPr>
          <w:p w14:paraId="7B5D6343">
            <w:pPr>
              <w:pStyle w:val="10"/>
              <w:spacing w:before="107" w:line="228" w:lineRule="auto"/>
              <w:ind w:firstLine="1140" w:firstLineChars="600"/>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7D90A56D">
            <w:pPr>
              <w:pStyle w:val="10"/>
              <w:spacing w:before="107" w:line="222" w:lineRule="auto"/>
              <w:ind w:left="544"/>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3B4F7374">
            <w:pPr>
              <w:pStyle w:val="10"/>
              <w:spacing w:before="138"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0AAB0763">
            <w:pPr>
              <w:rPr>
                <w:rFonts w:ascii="Arial"/>
                <w:color w:val="auto"/>
                <w:sz w:val="21"/>
              </w:rPr>
            </w:pPr>
          </w:p>
        </w:tc>
      </w:tr>
      <w:tr w14:paraId="3A2A7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65F7852C">
            <w:pPr>
              <w:pStyle w:val="10"/>
              <w:spacing w:before="137" w:line="188" w:lineRule="auto"/>
              <w:ind w:left="461"/>
              <w:rPr>
                <w:color w:val="auto"/>
                <w:sz w:val="19"/>
                <w:szCs w:val="19"/>
              </w:rPr>
            </w:pPr>
            <w:r>
              <w:rPr>
                <w:color w:val="auto"/>
                <w:sz w:val="19"/>
                <w:szCs w:val="19"/>
              </w:rPr>
              <w:t>7</w:t>
            </w:r>
          </w:p>
        </w:tc>
        <w:tc>
          <w:tcPr>
            <w:tcW w:w="4017" w:type="dxa"/>
            <w:vAlign w:val="top"/>
          </w:tcPr>
          <w:p w14:paraId="2B16BA22">
            <w:pPr>
              <w:rPr>
                <w:rFonts w:ascii="Arial"/>
                <w:color w:val="auto"/>
                <w:sz w:val="21"/>
              </w:rPr>
            </w:pPr>
          </w:p>
        </w:tc>
        <w:tc>
          <w:tcPr>
            <w:tcW w:w="1284" w:type="dxa"/>
            <w:vAlign w:val="top"/>
          </w:tcPr>
          <w:p w14:paraId="1B347172">
            <w:pPr>
              <w:rPr>
                <w:rFonts w:ascii="Arial"/>
                <w:color w:val="auto"/>
                <w:sz w:val="21"/>
              </w:rPr>
            </w:pPr>
          </w:p>
        </w:tc>
        <w:tc>
          <w:tcPr>
            <w:tcW w:w="1087" w:type="dxa"/>
            <w:vAlign w:val="top"/>
          </w:tcPr>
          <w:p w14:paraId="08D4B891">
            <w:pPr>
              <w:rPr>
                <w:rFonts w:ascii="Arial"/>
                <w:color w:val="auto"/>
                <w:sz w:val="21"/>
              </w:rPr>
            </w:pPr>
          </w:p>
        </w:tc>
        <w:tc>
          <w:tcPr>
            <w:tcW w:w="1679" w:type="dxa"/>
            <w:vAlign w:val="top"/>
          </w:tcPr>
          <w:p w14:paraId="1500E39B">
            <w:pPr>
              <w:rPr>
                <w:rFonts w:ascii="Arial"/>
                <w:color w:val="auto"/>
                <w:sz w:val="21"/>
              </w:rPr>
            </w:pPr>
          </w:p>
        </w:tc>
      </w:tr>
      <w:tr w14:paraId="41822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44387F91">
            <w:pPr>
              <w:pStyle w:val="10"/>
              <w:spacing w:before="136" w:line="189" w:lineRule="auto"/>
              <w:ind w:left="457"/>
              <w:rPr>
                <w:color w:val="auto"/>
                <w:sz w:val="19"/>
                <w:szCs w:val="19"/>
              </w:rPr>
            </w:pPr>
            <w:r>
              <w:rPr>
                <w:color w:val="auto"/>
                <w:sz w:val="19"/>
                <w:szCs w:val="19"/>
              </w:rPr>
              <w:t>8</w:t>
            </w:r>
          </w:p>
        </w:tc>
        <w:tc>
          <w:tcPr>
            <w:tcW w:w="4017" w:type="dxa"/>
            <w:vAlign w:val="top"/>
          </w:tcPr>
          <w:p w14:paraId="65E9B774">
            <w:pPr>
              <w:rPr>
                <w:rFonts w:ascii="Arial"/>
                <w:color w:val="auto"/>
                <w:sz w:val="21"/>
              </w:rPr>
            </w:pPr>
          </w:p>
        </w:tc>
        <w:tc>
          <w:tcPr>
            <w:tcW w:w="1284" w:type="dxa"/>
            <w:vAlign w:val="top"/>
          </w:tcPr>
          <w:p w14:paraId="02968BE1">
            <w:pPr>
              <w:rPr>
                <w:rFonts w:ascii="Arial"/>
                <w:color w:val="auto"/>
                <w:sz w:val="21"/>
              </w:rPr>
            </w:pPr>
          </w:p>
        </w:tc>
        <w:tc>
          <w:tcPr>
            <w:tcW w:w="1087" w:type="dxa"/>
            <w:vAlign w:val="top"/>
          </w:tcPr>
          <w:p w14:paraId="491BFEA9">
            <w:pPr>
              <w:rPr>
                <w:rFonts w:ascii="Arial"/>
                <w:color w:val="auto"/>
                <w:sz w:val="21"/>
              </w:rPr>
            </w:pPr>
          </w:p>
        </w:tc>
        <w:tc>
          <w:tcPr>
            <w:tcW w:w="1679" w:type="dxa"/>
            <w:vAlign w:val="top"/>
          </w:tcPr>
          <w:p w14:paraId="2B228EE9">
            <w:pPr>
              <w:rPr>
                <w:rFonts w:ascii="Arial"/>
                <w:color w:val="auto"/>
                <w:sz w:val="21"/>
              </w:rPr>
            </w:pPr>
          </w:p>
        </w:tc>
      </w:tr>
      <w:tr w14:paraId="0A85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13B87969">
            <w:pPr>
              <w:pStyle w:val="10"/>
              <w:spacing w:before="137" w:line="189" w:lineRule="auto"/>
              <w:ind w:left="457"/>
              <w:rPr>
                <w:color w:val="auto"/>
                <w:sz w:val="19"/>
                <w:szCs w:val="19"/>
              </w:rPr>
            </w:pPr>
            <w:r>
              <w:rPr>
                <w:color w:val="auto"/>
                <w:sz w:val="19"/>
                <w:szCs w:val="19"/>
              </w:rPr>
              <w:t>9</w:t>
            </w:r>
          </w:p>
        </w:tc>
        <w:tc>
          <w:tcPr>
            <w:tcW w:w="4017" w:type="dxa"/>
            <w:vAlign w:val="top"/>
          </w:tcPr>
          <w:p w14:paraId="70CBD182">
            <w:pPr>
              <w:rPr>
                <w:rFonts w:ascii="Arial"/>
                <w:color w:val="auto"/>
                <w:sz w:val="21"/>
              </w:rPr>
            </w:pPr>
          </w:p>
        </w:tc>
        <w:tc>
          <w:tcPr>
            <w:tcW w:w="1284" w:type="dxa"/>
            <w:vAlign w:val="top"/>
          </w:tcPr>
          <w:p w14:paraId="4B219F10">
            <w:pPr>
              <w:rPr>
                <w:rFonts w:ascii="Arial"/>
                <w:color w:val="auto"/>
                <w:sz w:val="21"/>
              </w:rPr>
            </w:pPr>
          </w:p>
        </w:tc>
        <w:tc>
          <w:tcPr>
            <w:tcW w:w="1087" w:type="dxa"/>
            <w:vAlign w:val="top"/>
          </w:tcPr>
          <w:p w14:paraId="6A0FD80A">
            <w:pPr>
              <w:rPr>
                <w:rFonts w:ascii="Arial"/>
                <w:color w:val="auto"/>
                <w:sz w:val="21"/>
              </w:rPr>
            </w:pPr>
          </w:p>
        </w:tc>
        <w:tc>
          <w:tcPr>
            <w:tcW w:w="1679" w:type="dxa"/>
            <w:vAlign w:val="top"/>
          </w:tcPr>
          <w:p w14:paraId="27D86209">
            <w:pPr>
              <w:rPr>
                <w:rFonts w:ascii="Arial"/>
                <w:color w:val="auto"/>
                <w:sz w:val="21"/>
              </w:rPr>
            </w:pPr>
          </w:p>
        </w:tc>
      </w:tr>
      <w:tr w14:paraId="5B5CD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45F07299">
            <w:pPr>
              <w:pStyle w:val="10"/>
              <w:spacing w:before="136" w:line="190" w:lineRule="auto"/>
              <w:ind w:left="423"/>
              <w:rPr>
                <w:color w:val="auto"/>
                <w:sz w:val="19"/>
                <w:szCs w:val="19"/>
              </w:rPr>
            </w:pPr>
            <w:r>
              <w:rPr>
                <w:color w:val="auto"/>
                <w:spacing w:val="-7"/>
                <w:sz w:val="19"/>
                <w:szCs w:val="19"/>
              </w:rPr>
              <w:t>10</w:t>
            </w:r>
          </w:p>
        </w:tc>
        <w:tc>
          <w:tcPr>
            <w:tcW w:w="4017" w:type="dxa"/>
            <w:vAlign w:val="top"/>
          </w:tcPr>
          <w:p w14:paraId="77D46DBD">
            <w:pPr>
              <w:rPr>
                <w:rFonts w:ascii="Arial"/>
                <w:color w:val="auto"/>
                <w:sz w:val="21"/>
              </w:rPr>
            </w:pPr>
          </w:p>
        </w:tc>
        <w:tc>
          <w:tcPr>
            <w:tcW w:w="1284" w:type="dxa"/>
            <w:vAlign w:val="top"/>
          </w:tcPr>
          <w:p w14:paraId="5E7E7046">
            <w:pPr>
              <w:rPr>
                <w:rFonts w:ascii="Arial"/>
                <w:color w:val="auto"/>
                <w:sz w:val="21"/>
              </w:rPr>
            </w:pPr>
          </w:p>
        </w:tc>
        <w:tc>
          <w:tcPr>
            <w:tcW w:w="1087" w:type="dxa"/>
            <w:vAlign w:val="top"/>
          </w:tcPr>
          <w:p w14:paraId="4D3FAF84">
            <w:pPr>
              <w:rPr>
                <w:rFonts w:ascii="Arial"/>
                <w:color w:val="auto"/>
                <w:sz w:val="21"/>
              </w:rPr>
            </w:pPr>
          </w:p>
        </w:tc>
        <w:tc>
          <w:tcPr>
            <w:tcW w:w="1679" w:type="dxa"/>
            <w:vAlign w:val="top"/>
          </w:tcPr>
          <w:p w14:paraId="2547BFE3">
            <w:pPr>
              <w:rPr>
                <w:rFonts w:ascii="Arial"/>
                <w:color w:val="auto"/>
                <w:sz w:val="21"/>
              </w:rPr>
            </w:pPr>
          </w:p>
        </w:tc>
      </w:tr>
      <w:tr w14:paraId="0287F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00159D09">
            <w:pPr>
              <w:pStyle w:val="10"/>
              <w:spacing w:before="137" w:line="190" w:lineRule="auto"/>
              <w:ind w:left="423"/>
              <w:rPr>
                <w:color w:val="auto"/>
                <w:sz w:val="19"/>
                <w:szCs w:val="19"/>
              </w:rPr>
            </w:pPr>
            <w:r>
              <w:rPr>
                <w:color w:val="auto"/>
                <w:spacing w:val="-7"/>
                <w:sz w:val="19"/>
                <w:szCs w:val="19"/>
              </w:rPr>
              <w:t>11</w:t>
            </w:r>
          </w:p>
        </w:tc>
        <w:tc>
          <w:tcPr>
            <w:tcW w:w="4017" w:type="dxa"/>
            <w:vAlign w:val="top"/>
          </w:tcPr>
          <w:p w14:paraId="4E345B3A">
            <w:pPr>
              <w:rPr>
                <w:rFonts w:ascii="Arial"/>
                <w:color w:val="auto"/>
                <w:sz w:val="21"/>
              </w:rPr>
            </w:pPr>
          </w:p>
        </w:tc>
        <w:tc>
          <w:tcPr>
            <w:tcW w:w="1284" w:type="dxa"/>
            <w:vAlign w:val="top"/>
          </w:tcPr>
          <w:p w14:paraId="29B6FA83">
            <w:pPr>
              <w:rPr>
                <w:rFonts w:ascii="Arial"/>
                <w:color w:val="auto"/>
                <w:sz w:val="21"/>
              </w:rPr>
            </w:pPr>
          </w:p>
        </w:tc>
        <w:tc>
          <w:tcPr>
            <w:tcW w:w="1087" w:type="dxa"/>
            <w:vAlign w:val="top"/>
          </w:tcPr>
          <w:p w14:paraId="77372193">
            <w:pPr>
              <w:rPr>
                <w:rFonts w:ascii="Arial"/>
                <w:color w:val="auto"/>
                <w:sz w:val="21"/>
              </w:rPr>
            </w:pPr>
          </w:p>
        </w:tc>
        <w:tc>
          <w:tcPr>
            <w:tcW w:w="1679" w:type="dxa"/>
            <w:vAlign w:val="top"/>
          </w:tcPr>
          <w:p w14:paraId="32D3C0CE">
            <w:pPr>
              <w:rPr>
                <w:rFonts w:ascii="Arial"/>
                <w:color w:val="auto"/>
                <w:sz w:val="21"/>
              </w:rPr>
            </w:pPr>
          </w:p>
        </w:tc>
      </w:tr>
      <w:tr w14:paraId="45AD8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410D783E">
            <w:pPr>
              <w:pStyle w:val="10"/>
              <w:spacing w:before="137" w:line="190" w:lineRule="auto"/>
              <w:ind w:left="423"/>
              <w:rPr>
                <w:color w:val="auto"/>
                <w:sz w:val="19"/>
                <w:szCs w:val="19"/>
              </w:rPr>
            </w:pPr>
            <w:r>
              <w:rPr>
                <w:color w:val="auto"/>
                <w:spacing w:val="-7"/>
                <w:sz w:val="19"/>
                <w:szCs w:val="19"/>
              </w:rPr>
              <w:t>12</w:t>
            </w:r>
          </w:p>
        </w:tc>
        <w:tc>
          <w:tcPr>
            <w:tcW w:w="4017" w:type="dxa"/>
            <w:vAlign w:val="top"/>
          </w:tcPr>
          <w:p w14:paraId="3D37EABA">
            <w:pPr>
              <w:rPr>
                <w:rFonts w:ascii="Arial"/>
                <w:color w:val="auto"/>
                <w:sz w:val="21"/>
              </w:rPr>
            </w:pPr>
          </w:p>
        </w:tc>
        <w:tc>
          <w:tcPr>
            <w:tcW w:w="1284" w:type="dxa"/>
            <w:vAlign w:val="top"/>
          </w:tcPr>
          <w:p w14:paraId="24DC5710">
            <w:pPr>
              <w:rPr>
                <w:rFonts w:ascii="Arial"/>
                <w:color w:val="auto"/>
                <w:sz w:val="21"/>
              </w:rPr>
            </w:pPr>
          </w:p>
        </w:tc>
        <w:tc>
          <w:tcPr>
            <w:tcW w:w="1087" w:type="dxa"/>
            <w:vAlign w:val="top"/>
          </w:tcPr>
          <w:p w14:paraId="528C45BE">
            <w:pPr>
              <w:rPr>
                <w:rFonts w:ascii="Arial"/>
                <w:color w:val="auto"/>
                <w:sz w:val="21"/>
              </w:rPr>
            </w:pPr>
          </w:p>
        </w:tc>
        <w:tc>
          <w:tcPr>
            <w:tcW w:w="1679" w:type="dxa"/>
            <w:vAlign w:val="top"/>
          </w:tcPr>
          <w:p w14:paraId="0F2BAB94">
            <w:pPr>
              <w:rPr>
                <w:rFonts w:ascii="Arial"/>
                <w:color w:val="auto"/>
                <w:sz w:val="21"/>
              </w:rPr>
            </w:pPr>
          </w:p>
        </w:tc>
      </w:tr>
      <w:tr w14:paraId="4782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0C1CC13F">
            <w:pPr>
              <w:pStyle w:val="10"/>
              <w:spacing w:before="135" w:line="190" w:lineRule="auto"/>
              <w:ind w:left="423"/>
              <w:rPr>
                <w:color w:val="auto"/>
                <w:sz w:val="19"/>
                <w:szCs w:val="19"/>
              </w:rPr>
            </w:pPr>
            <w:r>
              <w:rPr>
                <w:color w:val="auto"/>
                <w:spacing w:val="-7"/>
                <w:sz w:val="19"/>
                <w:szCs w:val="19"/>
              </w:rPr>
              <w:t>13</w:t>
            </w:r>
          </w:p>
        </w:tc>
        <w:tc>
          <w:tcPr>
            <w:tcW w:w="4017" w:type="dxa"/>
            <w:vAlign w:val="top"/>
          </w:tcPr>
          <w:p w14:paraId="35E079BA">
            <w:pPr>
              <w:rPr>
                <w:rFonts w:ascii="Arial"/>
                <w:color w:val="auto"/>
                <w:sz w:val="21"/>
              </w:rPr>
            </w:pPr>
          </w:p>
        </w:tc>
        <w:tc>
          <w:tcPr>
            <w:tcW w:w="1284" w:type="dxa"/>
            <w:vAlign w:val="top"/>
          </w:tcPr>
          <w:p w14:paraId="3DFC67ED">
            <w:pPr>
              <w:rPr>
                <w:rFonts w:ascii="Arial"/>
                <w:color w:val="auto"/>
                <w:sz w:val="21"/>
              </w:rPr>
            </w:pPr>
          </w:p>
        </w:tc>
        <w:tc>
          <w:tcPr>
            <w:tcW w:w="1087" w:type="dxa"/>
            <w:vAlign w:val="top"/>
          </w:tcPr>
          <w:p w14:paraId="7E401BEB">
            <w:pPr>
              <w:rPr>
                <w:rFonts w:ascii="Arial"/>
                <w:color w:val="auto"/>
                <w:sz w:val="21"/>
              </w:rPr>
            </w:pPr>
          </w:p>
        </w:tc>
        <w:tc>
          <w:tcPr>
            <w:tcW w:w="1679" w:type="dxa"/>
            <w:vAlign w:val="top"/>
          </w:tcPr>
          <w:p w14:paraId="118425B8">
            <w:pPr>
              <w:rPr>
                <w:rFonts w:ascii="Arial"/>
                <w:color w:val="auto"/>
                <w:sz w:val="21"/>
              </w:rPr>
            </w:pPr>
          </w:p>
        </w:tc>
      </w:tr>
      <w:tr w14:paraId="1C23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4F6BB814">
            <w:pPr>
              <w:pStyle w:val="10"/>
              <w:spacing w:before="135" w:line="190" w:lineRule="auto"/>
              <w:ind w:left="423"/>
              <w:rPr>
                <w:color w:val="auto"/>
                <w:sz w:val="19"/>
                <w:szCs w:val="19"/>
              </w:rPr>
            </w:pPr>
            <w:r>
              <w:rPr>
                <w:color w:val="auto"/>
                <w:spacing w:val="-7"/>
                <w:sz w:val="19"/>
                <w:szCs w:val="19"/>
              </w:rPr>
              <w:t>14</w:t>
            </w:r>
          </w:p>
        </w:tc>
        <w:tc>
          <w:tcPr>
            <w:tcW w:w="4017" w:type="dxa"/>
            <w:vAlign w:val="top"/>
          </w:tcPr>
          <w:p w14:paraId="69B25521">
            <w:pPr>
              <w:rPr>
                <w:rFonts w:ascii="Arial"/>
                <w:color w:val="auto"/>
                <w:sz w:val="21"/>
              </w:rPr>
            </w:pPr>
          </w:p>
        </w:tc>
        <w:tc>
          <w:tcPr>
            <w:tcW w:w="1284" w:type="dxa"/>
            <w:vAlign w:val="top"/>
          </w:tcPr>
          <w:p w14:paraId="31436527">
            <w:pPr>
              <w:rPr>
                <w:rFonts w:ascii="Arial"/>
                <w:color w:val="auto"/>
                <w:sz w:val="21"/>
              </w:rPr>
            </w:pPr>
          </w:p>
        </w:tc>
        <w:tc>
          <w:tcPr>
            <w:tcW w:w="1087" w:type="dxa"/>
            <w:vAlign w:val="top"/>
          </w:tcPr>
          <w:p w14:paraId="0FB63158">
            <w:pPr>
              <w:rPr>
                <w:rFonts w:ascii="Arial"/>
                <w:color w:val="auto"/>
                <w:sz w:val="21"/>
              </w:rPr>
            </w:pPr>
          </w:p>
        </w:tc>
        <w:tc>
          <w:tcPr>
            <w:tcW w:w="1679" w:type="dxa"/>
            <w:vAlign w:val="top"/>
          </w:tcPr>
          <w:p w14:paraId="3947778F">
            <w:pPr>
              <w:rPr>
                <w:rFonts w:ascii="Arial"/>
                <w:color w:val="auto"/>
                <w:sz w:val="21"/>
              </w:rPr>
            </w:pPr>
          </w:p>
        </w:tc>
      </w:tr>
      <w:tr w14:paraId="6C8A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671B1E76">
            <w:pPr>
              <w:pStyle w:val="10"/>
              <w:spacing w:before="136" w:line="190" w:lineRule="auto"/>
              <w:ind w:left="423"/>
              <w:rPr>
                <w:color w:val="auto"/>
                <w:sz w:val="19"/>
                <w:szCs w:val="19"/>
              </w:rPr>
            </w:pPr>
            <w:r>
              <w:rPr>
                <w:color w:val="auto"/>
                <w:spacing w:val="-7"/>
                <w:sz w:val="19"/>
                <w:szCs w:val="19"/>
              </w:rPr>
              <w:t>15</w:t>
            </w:r>
          </w:p>
        </w:tc>
        <w:tc>
          <w:tcPr>
            <w:tcW w:w="4017" w:type="dxa"/>
            <w:vAlign w:val="top"/>
          </w:tcPr>
          <w:p w14:paraId="65F65CCB">
            <w:pPr>
              <w:rPr>
                <w:rFonts w:ascii="Arial"/>
                <w:color w:val="auto"/>
                <w:sz w:val="21"/>
              </w:rPr>
            </w:pPr>
          </w:p>
        </w:tc>
        <w:tc>
          <w:tcPr>
            <w:tcW w:w="1284" w:type="dxa"/>
            <w:vAlign w:val="top"/>
          </w:tcPr>
          <w:p w14:paraId="5627F4DD">
            <w:pPr>
              <w:rPr>
                <w:rFonts w:ascii="Arial"/>
                <w:color w:val="auto"/>
                <w:sz w:val="21"/>
              </w:rPr>
            </w:pPr>
          </w:p>
        </w:tc>
        <w:tc>
          <w:tcPr>
            <w:tcW w:w="1087" w:type="dxa"/>
            <w:vAlign w:val="top"/>
          </w:tcPr>
          <w:p w14:paraId="44F7F791">
            <w:pPr>
              <w:rPr>
                <w:rFonts w:ascii="Arial"/>
                <w:color w:val="auto"/>
                <w:sz w:val="21"/>
              </w:rPr>
            </w:pPr>
          </w:p>
        </w:tc>
        <w:tc>
          <w:tcPr>
            <w:tcW w:w="1679" w:type="dxa"/>
            <w:vAlign w:val="top"/>
          </w:tcPr>
          <w:p w14:paraId="7B9163E4">
            <w:pPr>
              <w:rPr>
                <w:rFonts w:ascii="Arial"/>
                <w:color w:val="auto"/>
                <w:sz w:val="21"/>
              </w:rPr>
            </w:pPr>
          </w:p>
        </w:tc>
      </w:tr>
      <w:tr w14:paraId="4D304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20" w:type="dxa"/>
            <w:vAlign w:val="top"/>
          </w:tcPr>
          <w:p w14:paraId="1A05900D">
            <w:pPr>
              <w:rPr>
                <w:rFonts w:ascii="Arial"/>
                <w:color w:val="auto"/>
                <w:sz w:val="21"/>
              </w:rPr>
            </w:pPr>
          </w:p>
        </w:tc>
        <w:tc>
          <w:tcPr>
            <w:tcW w:w="8067" w:type="dxa"/>
            <w:gridSpan w:val="4"/>
            <w:vAlign w:val="top"/>
          </w:tcPr>
          <w:p w14:paraId="326921F7">
            <w:pPr>
              <w:pStyle w:val="10"/>
              <w:spacing w:before="105" w:line="227" w:lineRule="auto"/>
              <w:ind w:left="1445"/>
              <w:jc w:val="left"/>
              <w:rPr>
                <w:color w:val="auto"/>
                <w:sz w:val="19"/>
                <w:szCs w:val="19"/>
              </w:rPr>
            </w:pPr>
            <w:r>
              <w:rPr>
                <w:color w:val="auto"/>
                <w:spacing w:val="7"/>
                <w:sz w:val="19"/>
                <w:szCs w:val="19"/>
              </w:rPr>
              <w:t>备注：</w:t>
            </w:r>
            <w:r>
              <w:rPr>
                <w:color w:val="auto"/>
                <w:spacing w:val="-42"/>
                <w:sz w:val="19"/>
                <w:szCs w:val="19"/>
              </w:rPr>
              <w:t xml:space="preserve"> </w:t>
            </w:r>
            <w:r>
              <w:rPr>
                <w:color w:val="auto"/>
                <w:spacing w:val="7"/>
                <w:sz w:val="19"/>
                <w:szCs w:val="19"/>
              </w:rPr>
              <w:t>以上材料数量为暂估数量，具体以施工蓝图为准。</w:t>
            </w:r>
          </w:p>
        </w:tc>
      </w:tr>
    </w:tbl>
    <w:p w14:paraId="08A0F1CE">
      <w:pPr>
        <w:pStyle w:val="6"/>
        <w:rPr>
          <w:color w:val="auto"/>
        </w:rPr>
      </w:pPr>
    </w:p>
    <w:p w14:paraId="514756C9">
      <w:pPr>
        <w:sectPr>
          <w:footerReference r:id="rId9" w:type="default"/>
          <w:pgSz w:w="11910" w:h="16850"/>
          <w:pgMar w:top="1419" w:right="1522" w:bottom="1343" w:left="1495" w:header="0" w:footer="1181" w:gutter="0"/>
          <w:cols w:space="720" w:num="1"/>
        </w:sectPr>
      </w:pPr>
    </w:p>
    <w:p w14:paraId="384D7FB5">
      <w:pPr>
        <w:spacing w:before="47" w:line="219" w:lineRule="auto"/>
        <w:ind w:left="19"/>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2：</w:t>
      </w:r>
    </w:p>
    <w:p w14:paraId="5D156298">
      <w:pPr>
        <w:spacing w:before="317" w:line="219" w:lineRule="auto"/>
        <w:ind w:left="2380"/>
        <w:rPr>
          <w:rFonts w:ascii="宋体" w:hAnsi="宋体" w:eastAsia="宋体" w:cs="宋体"/>
          <w:sz w:val="30"/>
          <w:szCs w:val="30"/>
        </w:rPr>
      </w:pPr>
      <w:r>
        <w:rPr>
          <w:rFonts w:ascii="宋体" w:hAnsi="宋体" w:eastAsia="宋体" w:cs="宋体"/>
          <w:b/>
          <w:bCs/>
          <w:spacing w:val="-4"/>
          <w:sz w:val="30"/>
          <w:szCs w:val="30"/>
        </w:rPr>
        <w:t>建设工程安全生产管理协议</w:t>
      </w:r>
    </w:p>
    <w:p w14:paraId="0350D398">
      <w:pPr>
        <w:pStyle w:val="6"/>
        <w:spacing w:line="374" w:lineRule="auto"/>
      </w:pPr>
    </w:p>
    <w:p w14:paraId="0709C8D1">
      <w:pPr>
        <w:spacing w:before="78" w:line="336" w:lineRule="auto"/>
        <w:ind w:left="3"/>
        <w:rPr>
          <w:rFonts w:hint="default" w:ascii="宋体" w:hAnsi="宋体" w:eastAsia="宋体" w:cs="宋体"/>
          <w:color w:val="auto"/>
          <w:sz w:val="24"/>
          <w:szCs w:val="24"/>
          <w:lang w:val="en-US"/>
        </w:rPr>
      </w:pPr>
      <w:r>
        <w:rPr>
          <w:rFonts w:ascii="宋体" w:hAnsi="宋体" w:eastAsia="宋体" w:cs="宋体"/>
          <w:spacing w:val="-1"/>
          <w:sz w:val="24"/>
          <w:szCs w:val="24"/>
        </w:rPr>
        <w:t>项目名称：</w:t>
      </w:r>
      <w:r>
        <w:rPr>
          <w:rFonts w:ascii="Times New Roman" w:hAnsi="Times New Roman" w:eastAsia="Times New Roman" w:cs="Times New Roman"/>
          <w:spacing w:val="-1"/>
          <w:sz w:val="24"/>
          <w:szCs w:val="24"/>
        </w:rPr>
        <w:t>_</w:t>
      </w:r>
      <w:r>
        <w:rPr>
          <w:rFonts w:hint="eastAsia" w:ascii="宋体" w:hAnsi="宋体" w:eastAsia="宋体" w:cs="宋体"/>
          <w:spacing w:val="-1"/>
          <w:sz w:val="24"/>
          <w:szCs w:val="24"/>
          <w:u w:val="single" w:color="auto"/>
          <w:lang w:eastAsia="zh-CN"/>
        </w:rPr>
        <w:t>陇漳岷天然气长输管道输配工程（陇漳段）项目</w:t>
      </w:r>
      <w:r>
        <w:rPr>
          <w:rFonts w:hint="eastAsia" w:ascii="宋体" w:hAnsi="宋体" w:eastAsia="宋体" w:cs="宋体"/>
          <w:color w:val="auto"/>
          <w:spacing w:val="-2"/>
          <w:sz w:val="24"/>
          <w:szCs w:val="24"/>
          <w:u w:val="single" w:color="auto"/>
          <w:lang w:eastAsia="zh-CN"/>
        </w:rPr>
        <w:t>（Ⅱ标段</w:t>
      </w:r>
      <w:r>
        <w:rPr>
          <w:rFonts w:hint="eastAsia" w:ascii="宋体" w:hAnsi="宋体" w:eastAsia="宋体" w:cs="宋体"/>
          <w:color w:val="auto"/>
          <w:spacing w:val="-2"/>
          <w:sz w:val="24"/>
          <w:szCs w:val="24"/>
          <w:u w:val="single" w:color="auto"/>
          <w:lang w:val="en-US" w:eastAsia="zh-CN"/>
        </w:rPr>
        <w:t>施工劳务分包</w:t>
      </w:r>
    </w:p>
    <w:p w14:paraId="09C10C23">
      <w:pPr>
        <w:spacing w:before="61" w:line="219" w:lineRule="auto"/>
        <w:ind w:left="480"/>
        <w:rPr>
          <w:rFonts w:ascii="宋体" w:hAnsi="宋体" w:eastAsia="宋体" w:cs="宋体"/>
          <w:sz w:val="24"/>
          <w:szCs w:val="24"/>
        </w:rPr>
      </w:pPr>
      <w:r>
        <w:rPr>
          <w:rFonts w:ascii="宋体" w:hAnsi="宋体" w:eastAsia="宋体" w:cs="宋体"/>
          <w:spacing w:val="-3"/>
          <w:sz w:val="24"/>
          <w:szCs w:val="24"/>
        </w:rPr>
        <w:t>承包人（甲方</w:t>
      </w:r>
      <w:r>
        <w:rPr>
          <w:rFonts w:ascii="宋体" w:hAnsi="宋体" w:eastAsia="宋体" w:cs="宋体"/>
          <w:spacing w:val="21"/>
          <w:sz w:val="24"/>
          <w:szCs w:val="24"/>
        </w:rPr>
        <w:t>）：</w:t>
      </w:r>
      <w:r>
        <w:rPr>
          <w:rFonts w:ascii="宋体" w:hAnsi="宋体" w:eastAsia="宋体" w:cs="宋体"/>
          <w:spacing w:val="-3"/>
          <w:sz w:val="24"/>
          <w:szCs w:val="24"/>
          <w:u w:val="single" w:color="auto"/>
        </w:rPr>
        <w:t>陕西燃气集团工程有限公司</w:t>
      </w:r>
    </w:p>
    <w:p w14:paraId="400CCAAC">
      <w:pPr>
        <w:spacing w:before="183" w:line="220" w:lineRule="auto"/>
        <w:ind w:left="483"/>
        <w:rPr>
          <w:rFonts w:ascii="宋体" w:hAnsi="宋体" w:eastAsia="宋体" w:cs="宋体"/>
          <w:sz w:val="24"/>
          <w:szCs w:val="24"/>
        </w:rPr>
      </w:pPr>
      <w:r>
        <w:rPr>
          <w:rFonts w:ascii="宋体" w:hAnsi="宋体" w:eastAsia="宋体" w:cs="宋体"/>
          <w:spacing w:val="-3"/>
          <w:sz w:val="24"/>
          <w:szCs w:val="24"/>
        </w:rPr>
        <w:t>分包人（乙方</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71314616">
      <w:pPr>
        <w:spacing w:before="184" w:line="354" w:lineRule="auto"/>
        <w:ind w:firstLine="482"/>
        <w:jc w:val="both"/>
        <w:rPr>
          <w:rFonts w:ascii="宋体" w:hAnsi="宋体" w:eastAsia="宋体" w:cs="宋体"/>
          <w:sz w:val="24"/>
          <w:szCs w:val="24"/>
        </w:rPr>
      </w:pPr>
      <w:r>
        <w:rPr>
          <w:rFonts w:ascii="宋体" w:hAnsi="宋体" w:eastAsia="宋体" w:cs="宋体"/>
          <w:spacing w:val="-2"/>
          <w:sz w:val="24"/>
          <w:szCs w:val="24"/>
        </w:rPr>
        <w:t>为了加强对承包业务的安全管理，明确安全生产责任，防止和减少作业过程</w:t>
      </w:r>
      <w:r>
        <w:rPr>
          <w:rFonts w:ascii="宋体" w:hAnsi="宋体" w:eastAsia="宋体" w:cs="宋体"/>
          <w:spacing w:val="16"/>
          <w:sz w:val="24"/>
          <w:szCs w:val="24"/>
        </w:rPr>
        <w:t xml:space="preserve"> </w:t>
      </w:r>
      <w:r>
        <w:rPr>
          <w:rFonts w:ascii="宋体" w:hAnsi="宋体" w:eastAsia="宋体" w:cs="宋体"/>
          <w:spacing w:val="-1"/>
          <w:sz w:val="24"/>
          <w:szCs w:val="24"/>
        </w:rPr>
        <w:t>中的生产安全事故，按照《安全生产法》、《消防法</w:t>
      </w:r>
      <w:r>
        <w:rPr>
          <w:rFonts w:ascii="宋体" w:hAnsi="宋体" w:eastAsia="宋体" w:cs="宋体"/>
          <w:spacing w:val="-2"/>
          <w:sz w:val="24"/>
          <w:szCs w:val="24"/>
        </w:rPr>
        <w:t>》、《建设工程安全生产管</w:t>
      </w:r>
      <w:r>
        <w:rPr>
          <w:rFonts w:ascii="宋体" w:hAnsi="宋体" w:eastAsia="宋体" w:cs="宋体"/>
          <w:sz w:val="24"/>
          <w:szCs w:val="24"/>
        </w:rPr>
        <w:t xml:space="preserve"> </w:t>
      </w:r>
      <w:r>
        <w:rPr>
          <w:rFonts w:ascii="宋体" w:hAnsi="宋体" w:eastAsia="宋体" w:cs="宋体"/>
          <w:spacing w:val="-1"/>
          <w:sz w:val="24"/>
          <w:szCs w:val="24"/>
        </w:rPr>
        <w:t>理条例》《企事业单位内部治安保卫条例》及其他有</w:t>
      </w:r>
      <w:r>
        <w:rPr>
          <w:rFonts w:ascii="宋体" w:hAnsi="宋体" w:eastAsia="宋体" w:cs="宋体"/>
          <w:spacing w:val="-2"/>
          <w:sz w:val="24"/>
          <w:szCs w:val="24"/>
        </w:rPr>
        <w:t>关法律、法规、规章的有关</w:t>
      </w:r>
      <w:r>
        <w:rPr>
          <w:rFonts w:ascii="宋体" w:hAnsi="宋体" w:eastAsia="宋体" w:cs="宋体"/>
          <w:sz w:val="24"/>
          <w:szCs w:val="24"/>
        </w:rPr>
        <w:t xml:space="preserve"> </w:t>
      </w:r>
      <w:r>
        <w:rPr>
          <w:rFonts w:ascii="宋体" w:hAnsi="宋体" w:eastAsia="宋体" w:cs="宋体"/>
          <w:spacing w:val="-1"/>
          <w:sz w:val="24"/>
          <w:szCs w:val="24"/>
        </w:rPr>
        <w:t>规定，并依据《非煤矿山外包工程安全管理暂行办法</w:t>
      </w:r>
      <w:r>
        <w:rPr>
          <w:rFonts w:ascii="宋体" w:hAnsi="宋体" w:eastAsia="宋体" w:cs="宋体"/>
          <w:spacing w:val="-2"/>
          <w:sz w:val="24"/>
          <w:szCs w:val="24"/>
        </w:rPr>
        <w:t>》（国家安全生产监督管理</w:t>
      </w:r>
      <w:r>
        <w:rPr>
          <w:rFonts w:ascii="宋体" w:hAnsi="宋体" w:eastAsia="宋体" w:cs="宋体"/>
          <w:sz w:val="24"/>
          <w:szCs w:val="24"/>
        </w:rPr>
        <w:t xml:space="preserve"> </w:t>
      </w:r>
      <w:r>
        <w:rPr>
          <w:rFonts w:ascii="宋体" w:hAnsi="宋体" w:eastAsia="宋体" w:cs="宋体"/>
          <w:spacing w:val="-1"/>
          <w:sz w:val="24"/>
          <w:szCs w:val="24"/>
        </w:rPr>
        <w:t>总局令第</w:t>
      </w:r>
      <w:r>
        <w:rPr>
          <w:rFonts w:ascii="Times New Roman" w:hAnsi="Times New Roman" w:eastAsia="Times New Roman" w:cs="Times New Roman"/>
          <w:spacing w:val="-1"/>
          <w:sz w:val="24"/>
          <w:szCs w:val="24"/>
        </w:rPr>
        <w:t>62</w:t>
      </w:r>
      <w:r>
        <w:rPr>
          <w:rFonts w:ascii="宋体" w:hAnsi="宋体" w:eastAsia="宋体" w:cs="宋体"/>
          <w:spacing w:val="-1"/>
          <w:sz w:val="24"/>
          <w:szCs w:val="24"/>
        </w:rPr>
        <w:t>号）的要求，甲乙双方遵循平等、自愿、公</w:t>
      </w:r>
      <w:r>
        <w:rPr>
          <w:rFonts w:ascii="宋体" w:hAnsi="宋体" w:eastAsia="宋体" w:cs="宋体"/>
          <w:spacing w:val="-2"/>
          <w:sz w:val="24"/>
          <w:szCs w:val="24"/>
        </w:rPr>
        <w:t>平和诚实信用的原则，就</w:t>
      </w:r>
      <w:r>
        <w:rPr>
          <w:rFonts w:ascii="宋体" w:hAnsi="宋体" w:eastAsia="宋体" w:cs="宋体"/>
          <w:sz w:val="24"/>
          <w:szCs w:val="24"/>
        </w:rPr>
        <w:t xml:space="preserve"> </w:t>
      </w:r>
      <w:r>
        <w:rPr>
          <w:rFonts w:ascii="宋体" w:hAnsi="宋体" w:eastAsia="宋体" w:cs="宋体"/>
          <w:spacing w:val="-1"/>
          <w:sz w:val="24"/>
          <w:szCs w:val="24"/>
        </w:rPr>
        <w:t>承包业务安全生产管理事项协商一致，订立本协议。</w:t>
      </w:r>
    </w:p>
    <w:p w14:paraId="6620382C">
      <w:pPr>
        <w:spacing w:before="38" w:line="219" w:lineRule="auto"/>
        <w:ind w:left="480"/>
        <w:outlineLvl w:val="0"/>
        <w:rPr>
          <w:rFonts w:ascii="宋体" w:hAnsi="宋体" w:eastAsia="宋体" w:cs="宋体"/>
          <w:sz w:val="24"/>
          <w:szCs w:val="24"/>
        </w:rPr>
      </w:pP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承包工程项目</w:t>
      </w:r>
    </w:p>
    <w:p w14:paraId="3E59C65A">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color w:val="000000"/>
          <w:kern w:val="2"/>
          <w:sz w:val="24"/>
          <w:szCs w:val="24"/>
          <w:u w:val="single"/>
          <w:lang w:val="en-US" w:eastAsia="zh-CN"/>
        </w:rPr>
      </w:pPr>
      <w:r>
        <w:rPr>
          <w:rFonts w:hint="eastAsia" w:ascii="宋体" w:hAnsi="宋体" w:eastAsia="宋体" w:cs="宋体"/>
          <w:snapToGrid/>
          <w:color w:val="000000"/>
          <w:kern w:val="2"/>
          <w:sz w:val="24"/>
          <w:szCs w:val="24"/>
          <w:lang w:val="en-US" w:eastAsia="zh-CN"/>
        </w:rPr>
        <w:t xml:space="preserve">1.项目名称： </w:t>
      </w:r>
      <w:r>
        <w:rPr>
          <w:rFonts w:hint="eastAsia" w:ascii="宋体" w:hAnsi="宋体" w:eastAsia="宋体" w:cs="宋体"/>
          <w:snapToGrid/>
          <w:color w:val="000000"/>
          <w:kern w:val="2"/>
          <w:sz w:val="24"/>
          <w:szCs w:val="24"/>
          <w:u w:val="single"/>
          <w:lang w:val="en-US" w:eastAsia="zh-CN"/>
        </w:rPr>
        <w:t>陇漳岷天然气长输管道输配工程（陇漳段）项目（Ⅱ标段）施工劳务分包</w:t>
      </w:r>
    </w:p>
    <w:p w14:paraId="4BC350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val="en-US" w:eastAsia="zh-CN"/>
        </w:rPr>
      </w:pPr>
      <w:r>
        <w:rPr>
          <w:rFonts w:hint="eastAsia" w:ascii="宋体" w:hAnsi="宋体" w:eastAsia="宋体" w:cs="宋体"/>
          <w:snapToGrid/>
          <w:color w:val="000000"/>
          <w:kern w:val="2"/>
          <w:sz w:val="24"/>
          <w:szCs w:val="24"/>
          <w:lang w:val="en-US" w:eastAsia="zh-CN"/>
        </w:rPr>
        <w:t>2.工程地址：</w:t>
      </w:r>
      <w:r>
        <w:rPr>
          <w:rFonts w:hint="eastAsia" w:ascii="宋体" w:hAnsi="宋体" w:eastAsia="宋体" w:cs="宋体"/>
          <w:snapToGrid/>
          <w:color w:val="000000"/>
          <w:kern w:val="2"/>
          <w:sz w:val="24"/>
          <w:szCs w:val="24"/>
          <w:u w:val="single"/>
          <w:lang w:val="en-US" w:eastAsia="zh-CN"/>
        </w:rPr>
        <w:t xml:space="preserve"> 甘肃省定西市陇西县、漳县 </w:t>
      </w:r>
    </w:p>
    <w:p w14:paraId="51E4BBB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val="en-US" w:eastAsia="zh-CN"/>
        </w:rPr>
      </w:pPr>
      <w:r>
        <w:rPr>
          <w:rFonts w:hint="eastAsia" w:ascii="宋体" w:hAnsi="宋体" w:eastAsia="宋体" w:cs="宋体"/>
          <w:snapToGrid/>
          <w:color w:val="000000"/>
          <w:kern w:val="2"/>
          <w:sz w:val="24"/>
          <w:szCs w:val="24"/>
          <w:lang w:val="en-US" w:eastAsia="zh-CN"/>
        </w:rPr>
        <w:t>3.承包范围：</w:t>
      </w:r>
      <w:r>
        <w:rPr>
          <w:rFonts w:hint="eastAsia" w:ascii="宋体" w:hAnsi="宋体" w:eastAsia="宋体" w:cs="宋体"/>
          <w:snapToGrid/>
          <w:color w:val="000000"/>
          <w:kern w:val="2"/>
          <w:sz w:val="24"/>
          <w:szCs w:val="24"/>
          <w:u w:val="single"/>
          <w:lang w:val="en-US" w:eastAsia="zh-CN"/>
        </w:rPr>
        <w:t>甲方承包工程范围内的桦林阀室至漳县武阳镇柯寨村建设分输压气站之间长输燃气线路的土建工程、工艺管道工程、通信工程、水保工程。土建工程为：测量、放线、修便道、清扫作业带、管沟开挖、非开挖、管道下沟、回填、地质地貌恢复及复垦恢复、管道平衡压袋安装、固定推力支墩制作及安装、三桩一牌安装、定向钻及顶管施工的工作坑和接收坑的开挖及恢复、顶管作业的混凝土管管内填土、两端封堵、征地配合、对外协调等施工内容；工艺管道工程包括：测量、放线、管材的场内倒运、运管、布管、组对、焊接、管道吹扫、试压、通球、干燥、氮气置换；通信工程：穿越工程的镀锌焊接钢管焊接及安装、槽钢保护安装、硅芯管敷设、光纤敷设、一般线路的光纤敷设、光纤接头盒安装、硅芯管端头膨胀塞安装、硅芯管端头护缆塞安装、水泥盖板安装、电子表识器、普通标识器安装、直埋光纤接头坑施工，所有光缆的挑头接线，通信系统的调试；水保工程：草袋水土保持工程施工、粘土夯填截排水渠的施工，以及图纸范围内的除浆砌石水保工程之外的所有水保工程。具体工程内容以建设单位招标文件、设计文件、图纸、工程量清单等文件为准。</w:t>
      </w:r>
    </w:p>
    <w:p w14:paraId="426323F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4.承包方式：</w:t>
      </w:r>
      <w:r>
        <w:rPr>
          <w:rFonts w:hint="eastAsia" w:ascii="宋体" w:hAnsi="宋体" w:eastAsia="宋体" w:cs="宋体"/>
          <w:snapToGrid/>
          <w:color w:val="000000"/>
          <w:kern w:val="2"/>
          <w:sz w:val="24"/>
          <w:szCs w:val="24"/>
          <w:u w:val="single"/>
          <w:lang w:val="en-US" w:eastAsia="zh-CN"/>
        </w:rPr>
        <w:t xml:space="preserve"> 劳务分包</w:t>
      </w:r>
    </w:p>
    <w:p w14:paraId="19E5111B">
      <w:pPr>
        <w:spacing w:before="47" w:line="219" w:lineRule="auto"/>
        <w:ind w:left="480"/>
        <w:outlineLvl w:val="0"/>
        <w:rPr>
          <w:rFonts w:ascii="宋体" w:hAnsi="宋体" w:eastAsia="宋体" w:cs="宋体"/>
          <w:sz w:val="24"/>
          <w:szCs w:val="24"/>
        </w:rPr>
      </w:pPr>
      <w:r>
        <w:rPr>
          <w:rFonts w:ascii="宋体" w:hAnsi="宋体" w:eastAsia="宋体" w:cs="宋体"/>
          <w:b/>
          <w:bCs/>
          <w:spacing w:val="-3"/>
          <w:sz w:val="24"/>
          <w:szCs w:val="24"/>
        </w:rPr>
        <w:t>第二条</w:t>
      </w:r>
      <w:r>
        <w:rPr>
          <w:rFonts w:ascii="宋体" w:hAnsi="宋体" w:eastAsia="宋体" w:cs="宋体"/>
          <w:spacing w:val="-3"/>
          <w:sz w:val="24"/>
          <w:szCs w:val="24"/>
        </w:rPr>
        <w:t xml:space="preserve"> </w:t>
      </w:r>
      <w:r>
        <w:rPr>
          <w:rFonts w:ascii="宋体" w:hAnsi="宋体" w:eastAsia="宋体" w:cs="宋体"/>
          <w:b/>
          <w:bCs/>
          <w:spacing w:val="-3"/>
          <w:sz w:val="24"/>
          <w:szCs w:val="24"/>
        </w:rPr>
        <w:t>本协议有效期限</w:t>
      </w:r>
    </w:p>
    <w:p w14:paraId="479D2909">
      <w:pPr>
        <w:spacing w:before="260" w:line="295" w:lineRule="auto"/>
        <w:ind w:left="2" w:right="105" w:firstLine="517"/>
        <w:rPr>
          <w:rFonts w:ascii="宋体" w:hAnsi="宋体" w:eastAsia="宋体" w:cs="宋体"/>
          <w:sz w:val="24"/>
          <w:szCs w:val="24"/>
        </w:rPr>
      </w:pPr>
      <w:r>
        <w:rPr>
          <w:rFonts w:ascii="宋体" w:hAnsi="宋体" w:eastAsia="宋体" w:cs="宋体"/>
          <w:spacing w:val="-3"/>
          <w:sz w:val="24"/>
          <w:szCs w:val="24"/>
        </w:rPr>
        <w:t>自乙方入驻施工场地之日起，至乙方人员撤离现场且乙方所承担的工程项目</w:t>
      </w:r>
      <w:r>
        <w:rPr>
          <w:rFonts w:ascii="宋体" w:hAnsi="宋体" w:eastAsia="宋体" w:cs="宋体"/>
          <w:spacing w:val="13"/>
          <w:sz w:val="24"/>
          <w:szCs w:val="24"/>
        </w:rPr>
        <w:t xml:space="preserve"> </w:t>
      </w:r>
      <w:r>
        <w:rPr>
          <w:rFonts w:ascii="宋体" w:hAnsi="宋体" w:eastAsia="宋体" w:cs="宋体"/>
          <w:spacing w:val="-2"/>
          <w:sz w:val="24"/>
          <w:szCs w:val="24"/>
        </w:rPr>
        <w:t>经甲方验收合格时止。</w:t>
      </w:r>
    </w:p>
    <w:p w14:paraId="69156073">
      <w:pPr>
        <w:spacing w:before="113" w:line="219" w:lineRule="auto"/>
        <w:ind w:left="480"/>
        <w:rPr>
          <w:rFonts w:ascii="宋体" w:hAnsi="宋体" w:eastAsia="宋体" w:cs="宋体"/>
          <w:sz w:val="24"/>
          <w:szCs w:val="24"/>
        </w:rPr>
      </w:pPr>
      <w:r>
        <w:rPr>
          <w:rFonts w:ascii="宋体" w:hAnsi="宋体" w:eastAsia="宋体" w:cs="宋体"/>
          <w:b/>
          <w:bCs/>
          <w:spacing w:val="-7"/>
          <w:sz w:val="24"/>
          <w:szCs w:val="24"/>
        </w:rPr>
        <w:t>第三条</w:t>
      </w:r>
      <w:r>
        <w:rPr>
          <w:rFonts w:ascii="宋体" w:hAnsi="宋体" w:eastAsia="宋体" w:cs="宋体"/>
          <w:spacing w:val="37"/>
          <w:sz w:val="24"/>
          <w:szCs w:val="24"/>
        </w:rPr>
        <w:t xml:space="preserve"> </w:t>
      </w:r>
      <w:r>
        <w:rPr>
          <w:rFonts w:ascii="宋体" w:hAnsi="宋体" w:eastAsia="宋体" w:cs="宋体"/>
          <w:b/>
          <w:bCs/>
          <w:spacing w:val="-7"/>
          <w:sz w:val="24"/>
          <w:szCs w:val="24"/>
        </w:rPr>
        <w:t>乙方基本情况</w:t>
      </w:r>
    </w:p>
    <w:p w14:paraId="12328F17">
      <w:pPr>
        <w:spacing w:before="246" w:line="219" w:lineRule="auto"/>
        <w:ind w:left="498"/>
        <w:rPr>
          <w:rFonts w:ascii="宋体" w:hAnsi="宋体" w:eastAsia="宋体" w:cs="宋体"/>
          <w:sz w:val="24"/>
          <w:szCs w:val="24"/>
        </w:rPr>
      </w:pPr>
      <w:r>
        <w:rPr>
          <w:rFonts w:ascii="宋体" w:hAnsi="宋体" w:eastAsia="宋体" w:cs="宋体"/>
          <w:spacing w:val="-4"/>
          <w:sz w:val="24"/>
          <w:szCs w:val="24"/>
        </w:rPr>
        <w:t>1、营业执照编号：</w:t>
      </w:r>
      <w:r>
        <w:rPr>
          <w:rFonts w:ascii="宋体" w:hAnsi="宋体" w:eastAsia="宋体" w:cs="宋体"/>
          <w:sz w:val="24"/>
          <w:szCs w:val="24"/>
        </w:rPr>
        <w:t xml:space="preserve">                       </w:t>
      </w:r>
      <w:r>
        <w:rPr>
          <w:rFonts w:ascii="宋体" w:hAnsi="宋体" w:eastAsia="宋体" w:cs="宋体"/>
          <w:spacing w:val="-4"/>
          <w:sz w:val="24"/>
          <w:szCs w:val="24"/>
        </w:rPr>
        <w:t>有效期至：   年  月</w:t>
      </w:r>
      <w:r>
        <w:rPr>
          <w:rFonts w:ascii="宋体" w:hAnsi="宋体" w:eastAsia="宋体" w:cs="宋体"/>
          <w:spacing w:val="31"/>
          <w:sz w:val="24"/>
          <w:szCs w:val="24"/>
        </w:rPr>
        <w:t xml:space="preserve">  </w:t>
      </w:r>
      <w:r>
        <w:rPr>
          <w:rFonts w:ascii="宋体" w:hAnsi="宋体" w:eastAsia="宋体" w:cs="宋体"/>
          <w:spacing w:val="-4"/>
          <w:sz w:val="24"/>
          <w:szCs w:val="24"/>
        </w:rPr>
        <w:t>日；</w:t>
      </w:r>
    </w:p>
    <w:p w14:paraId="295B07DC">
      <w:pPr>
        <w:spacing w:before="254" w:line="219" w:lineRule="auto"/>
        <w:ind w:left="483"/>
        <w:rPr>
          <w:rFonts w:ascii="宋体" w:hAnsi="宋体" w:eastAsia="宋体" w:cs="宋体"/>
          <w:sz w:val="24"/>
          <w:szCs w:val="24"/>
        </w:rPr>
      </w:pPr>
      <w:r>
        <w:rPr>
          <w:rFonts w:ascii="宋体" w:hAnsi="宋体" w:eastAsia="宋体" w:cs="宋体"/>
          <w:spacing w:val="-4"/>
          <w:sz w:val="24"/>
          <w:szCs w:val="24"/>
        </w:rPr>
        <w:t>2、资质证书编号：</w:t>
      </w:r>
      <w:r>
        <w:rPr>
          <w:rFonts w:ascii="宋体" w:hAnsi="宋体" w:eastAsia="宋体" w:cs="宋体"/>
          <w:spacing w:val="1"/>
          <w:sz w:val="24"/>
          <w:szCs w:val="24"/>
        </w:rPr>
        <w:t xml:space="preserve">                       </w:t>
      </w:r>
      <w:r>
        <w:rPr>
          <w:rFonts w:ascii="宋体" w:hAnsi="宋体" w:eastAsia="宋体" w:cs="宋体"/>
          <w:spacing w:val="-4"/>
          <w:sz w:val="24"/>
          <w:szCs w:val="24"/>
        </w:rPr>
        <w:t>有效期至：   年  月</w:t>
      </w:r>
      <w:r>
        <w:rPr>
          <w:rFonts w:ascii="宋体" w:hAnsi="宋体" w:eastAsia="宋体" w:cs="宋体"/>
          <w:spacing w:val="27"/>
          <w:sz w:val="24"/>
          <w:szCs w:val="24"/>
        </w:rPr>
        <w:t xml:space="preserve">  </w:t>
      </w:r>
      <w:r>
        <w:rPr>
          <w:rFonts w:ascii="宋体" w:hAnsi="宋体" w:eastAsia="宋体" w:cs="宋体"/>
          <w:spacing w:val="-4"/>
          <w:sz w:val="24"/>
          <w:szCs w:val="24"/>
        </w:rPr>
        <w:t>日；</w:t>
      </w:r>
    </w:p>
    <w:p w14:paraId="45F36E4F">
      <w:pPr>
        <w:spacing w:before="225" w:line="219" w:lineRule="auto"/>
        <w:ind w:left="485"/>
        <w:rPr>
          <w:rFonts w:ascii="宋体" w:hAnsi="宋体" w:eastAsia="宋体" w:cs="宋体"/>
          <w:sz w:val="24"/>
          <w:szCs w:val="24"/>
        </w:rPr>
      </w:pPr>
      <w:r>
        <w:rPr>
          <w:rFonts w:ascii="宋体" w:hAnsi="宋体" w:eastAsia="宋体" w:cs="宋体"/>
          <w:spacing w:val="-2"/>
          <w:sz w:val="24"/>
          <w:szCs w:val="24"/>
        </w:rPr>
        <w:t xml:space="preserve">3、安全生产许可证编号：          </w:t>
      </w:r>
      <w:r>
        <w:rPr>
          <w:rFonts w:ascii="宋体" w:hAnsi="宋体" w:eastAsia="宋体" w:cs="宋体"/>
          <w:spacing w:val="-3"/>
          <w:sz w:val="24"/>
          <w:szCs w:val="24"/>
        </w:rPr>
        <w:t xml:space="preserve">       有效期至：</w:t>
      </w:r>
      <w:r>
        <w:rPr>
          <w:rFonts w:ascii="宋体" w:hAnsi="宋体" w:eastAsia="宋体" w:cs="宋体"/>
          <w:spacing w:val="3"/>
          <w:sz w:val="24"/>
          <w:szCs w:val="24"/>
        </w:rPr>
        <w:t xml:space="preserve">   </w:t>
      </w:r>
      <w:r>
        <w:rPr>
          <w:rFonts w:ascii="宋体" w:hAnsi="宋体" w:eastAsia="宋体" w:cs="宋体"/>
          <w:spacing w:val="-3"/>
          <w:sz w:val="24"/>
          <w:szCs w:val="24"/>
        </w:rPr>
        <w:t>年</w:t>
      </w:r>
      <w:r>
        <w:rPr>
          <w:rFonts w:ascii="宋体" w:hAnsi="宋体" w:eastAsia="宋体" w:cs="宋体"/>
          <w:spacing w:val="8"/>
          <w:sz w:val="24"/>
          <w:szCs w:val="24"/>
        </w:rPr>
        <w:t xml:space="preserve">  </w:t>
      </w:r>
      <w:r>
        <w:rPr>
          <w:rFonts w:ascii="宋体" w:hAnsi="宋体" w:eastAsia="宋体" w:cs="宋体"/>
          <w:spacing w:val="-3"/>
          <w:sz w:val="24"/>
          <w:szCs w:val="24"/>
        </w:rPr>
        <w:t>月</w:t>
      </w:r>
      <w:r>
        <w:rPr>
          <w:rFonts w:ascii="宋体" w:hAnsi="宋体" w:eastAsia="宋体" w:cs="宋体"/>
          <w:spacing w:val="25"/>
          <w:sz w:val="24"/>
          <w:szCs w:val="24"/>
        </w:rPr>
        <w:t xml:space="preserve">  </w:t>
      </w:r>
      <w:r>
        <w:rPr>
          <w:rFonts w:ascii="宋体" w:hAnsi="宋体" w:eastAsia="宋体" w:cs="宋体"/>
          <w:spacing w:val="-3"/>
          <w:sz w:val="24"/>
          <w:szCs w:val="24"/>
        </w:rPr>
        <w:t>日；</w:t>
      </w:r>
    </w:p>
    <w:p w14:paraId="51C8C010">
      <w:pPr>
        <w:spacing w:before="214" w:line="219" w:lineRule="auto"/>
        <w:rPr>
          <w:rFonts w:ascii="宋体" w:hAnsi="宋体" w:eastAsia="宋体" w:cs="宋体"/>
          <w:sz w:val="24"/>
          <w:szCs w:val="24"/>
        </w:rPr>
      </w:pPr>
      <w:r>
        <w:rPr>
          <w:rFonts w:ascii="宋体" w:hAnsi="宋体" w:eastAsia="宋体" w:cs="宋体"/>
          <w:b/>
          <w:bCs/>
          <w:spacing w:val="-6"/>
          <w:sz w:val="24"/>
          <w:szCs w:val="24"/>
        </w:rPr>
        <w:t>第四条</w:t>
      </w:r>
      <w:r>
        <w:rPr>
          <w:rFonts w:ascii="宋体" w:hAnsi="宋体" w:eastAsia="宋体" w:cs="宋体"/>
          <w:spacing w:val="37"/>
          <w:sz w:val="24"/>
          <w:szCs w:val="24"/>
        </w:rPr>
        <w:t xml:space="preserve"> </w:t>
      </w:r>
      <w:r>
        <w:rPr>
          <w:rFonts w:ascii="宋体" w:hAnsi="宋体" w:eastAsia="宋体" w:cs="宋体"/>
          <w:b/>
          <w:bCs/>
          <w:spacing w:val="-6"/>
          <w:sz w:val="24"/>
          <w:szCs w:val="24"/>
        </w:rPr>
        <w:t>乙方配备人员情况</w:t>
      </w:r>
    </w:p>
    <w:sdt>
      <w:sdtPr>
        <w:rPr>
          <w:rFonts w:ascii="宋体" w:hAnsi="宋体" w:eastAsia="宋体" w:cs="宋体"/>
          <w:snapToGrid w:val="0"/>
          <w:color w:val="000000"/>
          <w:kern w:val="0"/>
          <w:sz w:val="24"/>
          <w:szCs w:val="24"/>
          <w:lang w:val="en-US" w:eastAsia="en-US" w:bidi="ar-SA"/>
        </w:rPr>
        <w:id w:val="147457432"/>
        <w:docPartObj>
          <w:docPartGallery w:val="Table of Contents"/>
          <w:docPartUnique/>
        </w:docPartObj>
      </w:sdtPr>
      <w:sdtEndPr>
        <w:rPr>
          <w:rFonts w:hint="eastAsia" w:ascii="宋体" w:hAnsi="宋体" w:eastAsia="宋体" w:cs="宋体"/>
          <w:snapToGrid/>
          <w:color w:val="000000"/>
          <w:kern w:val="2"/>
          <w:sz w:val="24"/>
          <w:szCs w:val="24"/>
          <w:lang w:val="en-US" w:eastAsia="en-US" w:bidi="ar-SA"/>
        </w:rPr>
      </w:sdtEndPr>
      <w:sdtContent>
        <w:p w14:paraId="5905BE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lang w:eastAsia="zh-CN"/>
            </w:rPr>
            <w:t>乙方拟在本工程中拟投入施工作业人员</w:t>
          </w:r>
          <w:r>
            <w:rPr>
              <w:rFonts w:hint="eastAsia" w:ascii="宋体" w:hAnsi="宋体" w:eastAsia="宋体" w:cs="宋体"/>
              <w:snapToGrid/>
              <w:color w:val="000000"/>
              <w:kern w:val="2"/>
              <w:sz w:val="24"/>
              <w:szCs w:val="24"/>
              <w:u w:val="single"/>
              <w:lang w:eastAsia="zh-CN"/>
            </w:rPr>
            <w:t xml:space="preserve">        </w:t>
          </w:r>
          <w:r>
            <w:rPr>
              <w:rFonts w:hint="eastAsia" w:ascii="宋体" w:hAnsi="宋体" w:eastAsia="宋体" w:cs="宋体"/>
              <w:snapToGrid/>
              <w:color w:val="000000"/>
              <w:kern w:val="2"/>
              <w:sz w:val="24"/>
              <w:szCs w:val="24"/>
              <w:lang w:eastAsia="zh-CN"/>
            </w:rPr>
            <w:t>人，现场负责人</w:t>
          </w:r>
          <w:r>
            <w:rPr>
              <w:rFonts w:hint="eastAsia" w:ascii="宋体" w:hAnsi="宋体" w:eastAsia="宋体" w:cs="宋体"/>
              <w:snapToGrid/>
              <w:color w:val="000000"/>
              <w:kern w:val="2"/>
              <w:sz w:val="24"/>
              <w:szCs w:val="24"/>
              <w:u w:val="single"/>
              <w:lang w:eastAsia="zh-CN"/>
            </w:rPr>
            <w:t xml:space="preserve"> </w:t>
          </w:r>
          <w:r>
            <w:rPr>
              <w:rFonts w:hint="eastAsia" w:ascii="宋体" w:hAnsi="宋体" w:eastAsia="宋体" w:cs="宋体"/>
              <w:snapToGrid/>
              <w:color w:val="000000"/>
              <w:kern w:val="2"/>
              <w:sz w:val="24"/>
              <w:szCs w:val="24"/>
              <w:u w:val="single"/>
              <w:lang w:eastAsia="zh-CN"/>
            </w:rPr>
            <w:tab/>
          </w:r>
          <w:r>
            <w:rPr>
              <w:rFonts w:hint="eastAsia" w:ascii="宋体" w:hAnsi="宋体" w:eastAsia="宋体" w:cs="宋体"/>
              <w:snapToGrid/>
              <w:color w:val="000000"/>
              <w:kern w:val="2"/>
              <w:sz w:val="24"/>
              <w:szCs w:val="24"/>
              <w:u w:val="single"/>
              <w:lang w:eastAsia="zh-CN"/>
            </w:rPr>
            <w:t xml:space="preserve"> ,</w:t>
          </w:r>
        </w:p>
        <w:p w14:paraId="0F70B3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技术负责人</w:t>
          </w:r>
          <w:r>
            <w:rPr>
              <w:rFonts w:hint="eastAsia" w:ascii="宋体" w:hAnsi="宋体" w:eastAsia="宋体" w:cs="宋体"/>
              <w:snapToGrid/>
              <w:color w:val="000000"/>
              <w:kern w:val="2"/>
              <w:sz w:val="24"/>
              <w:szCs w:val="24"/>
              <w:u w:val="single"/>
              <w:lang w:eastAsia="zh-CN"/>
            </w:rPr>
            <w:tab/>
          </w:r>
          <w:r>
            <w:rPr>
              <w:rFonts w:hint="eastAsia" w:ascii="宋体" w:hAnsi="宋体" w:eastAsia="宋体" w:cs="宋体"/>
              <w:snapToGrid/>
              <w:color w:val="000000"/>
              <w:kern w:val="2"/>
              <w:sz w:val="24"/>
              <w:szCs w:val="24"/>
              <w:u w:val="single"/>
              <w:lang w:eastAsia="zh-CN"/>
            </w:rPr>
            <w:t xml:space="preserve"> </w:t>
          </w:r>
          <w:r>
            <w:rPr>
              <w:rFonts w:hint="eastAsia" w:ascii="宋体" w:hAnsi="宋体" w:eastAsia="宋体" w:cs="宋体"/>
              <w:snapToGrid/>
              <w:color w:val="000000"/>
              <w:kern w:val="2"/>
              <w:sz w:val="24"/>
              <w:szCs w:val="24"/>
              <w:lang w:eastAsia="zh-CN"/>
            </w:rPr>
            <w:t>,按照住建部《建筑施工企业安全生产管理机构设置及专</w:t>
          </w:r>
        </w:p>
      </w:sdtContent>
    </w:sdt>
    <w:p w14:paraId="636E087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职安全生产管理人员配备办法》第十四条“劳务分包企业在同一项目施工人员在 50 人以下的，应当配备安全员不少于 1 人；50～200 人的，不少于 2 人； 200 人及以上的，不少于 3 人 ”的规定，乙方配备持有《安全生产考核合格证》的专 职安全生产管理人员</w:t>
      </w:r>
      <w:r>
        <w:rPr>
          <w:rFonts w:hint="eastAsia" w:ascii="宋体" w:hAnsi="宋体" w:eastAsia="宋体" w:cs="宋体"/>
          <w:snapToGrid/>
          <w:color w:val="000000"/>
          <w:kern w:val="2"/>
          <w:sz w:val="24"/>
          <w:szCs w:val="24"/>
          <w:u w:val="single"/>
          <w:lang w:eastAsia="zh-CN"/>
        </w:rPr>
        <w:t xml:space="preserve">     </w:t>
      </w:r>
      <w:r>
        <w:rPr>
          <w:rFonts w:hint="eastAsia" w:ascii="宋体" w:hAnsi="宋体" w:eastAsia="宋体" w:cs="宋体"/>
          <w:snapToGrid/>
          <w:color w:val="000000"/>
          <w:kern w:val="2"/>
          <w:sz w:val="24"/>
          <w:szCs w:val="24"/>
          <w:lang w:eastAsia="zh-CN"/>
        </w:rPr>
        <w:t>人，人员名单如下：</w:t>
      </w:r>
    </w:p>
    <w:p w14:paraId="35810D5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姓名：                安全考核 C 证证号：</w:t>
      </w:r>
    </w:p>
    <w:p w14:paraId="5502D564">
      <w:pPr>
        <w:spacing w:before="183" w:line="219" w:lineRule="auto"/>
        <w:ind w:left="480"/>
        <w:rPr>
          <w:rFonts w:ascii="宋体" w:hAnsi="宋体" w:eastAsia="宋体" w:cs="宋体"/>
          <w:sz w:val="24"/>
          <w:szCs w:val="24"/>
        </w:rPr>
      </w:pPr>
      <w:r>
        <w:rPr>
          <w:rFonts w:ascii="宋体" w:hAnsi="宋体" w:eastAsia="宋体" w:cs="宋体"/>
          <w:b/>
          <w:bCs/>
          <w:spacing w:val="-3"/>
          <w:sz w:val="24"/>
          <w:szCs w:val="24"/>
        </w:rPr>
        <w:t>第五条</w:t>
      </w:r>
      <w:r>
        <w:rPr>
          <w:rFonts w:ascii="宋体" w:hAnsi="宋体" w:eastAsia="宋体" w:cs="宋体"/>
          <w:spacing w:val="-3"/>
          <w:sz w:val="24"/>
          <w:szCs w:val="24"/>
        </w:rPr>
        <w:t xml:space="preserve"> </w:t>
      </w:r>
      <w:r>
        <w:rPr>
          <w:rFonts w:ascii="宋体" w:hAnsi="宋体" w:eastAsia="宋体" w:cs="宋体"/>
          <w:b/>
          <w:bCs/>
          <w:spacing w:val="-3"/>
          <w:sz w:val="24"/>
          <w:szCs w:val="24"/>
        </w:rPr>
        <w:t>双方承诺</w:t>
      </w:r>
    </w:p>
    <w:p w14:paraId="5C2E7F6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（一）甲方承诺</w:t>
      </w:r>
    </w:p>
    <w:p w14:paraId="0CAEC2E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1.严格遵守《安全生产法》、《消防法》、《企事业单位内部治安保卫条例》 及其他有关法律、法规、规章和标准的有关规定。</w:t>
      </w:r>
    </w:p>
    <w:p w14:paraId="35DF65E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2.甲方不得要求乙方违反安全管理规定进行施工，不违章指挥或者强令乙方 及其从业人员冒险作业。</w:t>
      </w:r>
    </w:p>
    <w:p w14:paraId="6C7C0CA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3.严格遵守甲乙双方签订的本协议。</w:t>
      </w:r>
    </w:p>
    <w:p w14:paraId="408155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4.对乙方所承包业务安全生产监督管理。</w:t>
      </w:r>
    </w:p>
    <w:p w14:paraId="59D4E5C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5.工程项目应由甲方向乙方进行现场交底，并答复乙方的询问。 6.开工前甲乙双方认真勘察现场，甲方向乙方进行现场交底。</w:t>
      </w:r>
    </w:p>
    <w:p w14:paraId="3452E4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7.甲方必须认真对本单位职工进行安全生产制度及安全技术知识教育，增强 法制观念，提高职工的安全生产思想意识和自我保护的能力，督促职工自觉遵守 安全生产纪律，制度和法规。</w:t>
      </w:r>
    </w:p>
    <w:p w14:paraId="6FAB01B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8.施工期间的甲方职工个人防护用品，由甲方自理，甲方应督促其施工现场 人员自觉穿戴好防护用品。</w:t>
      </w:r>
    </w:p>
    <w:p w14:paraId="34411C8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（二）乙方承诺</w:t>
      </w:r>
    </w:p>
    <w:p w14:paraId="170830E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1.严格遵守《安全生产法》和《职业病防治法》及其他有关法律、法规、规 章和标准的有关规定。</w:t>
      </w:r>
    </w:p>
    <w:p w14:paraId="6E4D448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2.严格遵守甲乙双方签订的本协议。</w:t>
      </w:r>
    </w:p>
    <w:p w14:paraId="7D25179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3.保证提供给甲方的相关业务安全生产许可证、从业人员信息等相关资料真 实可靠，并对因上述资料不真实、不可靠造成的后果负法律责任。</w:t>
      </w:r>
    </w:p>
    <w:p w14:paraId="7B4B93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4.工程项目由乙方按安全施工要求自行编制施工组织设计，并制定有针对性 的安全技术措施计划，严格按施工组织设计和有关安全要求施工。</w:t>
      </w:r>
    </w:p>
    <w:p w14:paraId="4FE3787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5.施工期间的乙方职工个人防护用品，由乙方自理，乙方应督促其施工现场 人员自觉穿戴好防护用品。</w:t>
      </w:r>
    </w:p>
    <w:p w14:paraId="780FA75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6.乙双必须认真对本单位职工进行安全生产制度及安全技术知识教育，增强 法制观念，提高职工的安全生产思想意识和自我保护的能力，督促职工自觉遵守 安全生产纪律，制度和法规。</w:t>
      </w:r>
    </w:p>
    <w:p w14:paraId="7D8BBF13">
      <w:pPr>
        <w:spacing w:before="36" w:line="219" w:lineRule="auto"/>
        <w:ind w:left="480"/>
        <w:rPr>
          <w:rFonts w:ascii="宋体" w:hAnsi="宋体" w:eastAsia="宋体" w:cs="宋体"/>
          <w:sz w:val="24"/>
          <w:szCs w:val="24"/>
        </w:rPr>
      </w:pPr>
      <w:r>
        <w:rPr>
          <w:rFonts w:ascii="宋体" w:hAnsi="宋体" w:eastAsia="宋体" w:cs="宋体"/>
          <w:b/>
          <w:bCs/>
          <w:spacing w:val="-3"/>
          <w:sz w:val="24"/>
          <w:szCs w:val="24"/>
        </w:rPr>
        <w:t>第六条</w:t>
      </w:r>
      <w:r>
        <w:rPr>
          <w:rFonts w:ascii="宋体" w:hAnsi="宋体" w:eastAsia="宋体" w:cs="宋体"/>
          <w:spacing w:val="-3"/>
          <w:sz w:val="24"/>
          <w:szCs w:val="24"/>
        </w:rPr>
        <w:t xml:space="preserve"> </w:t>
      </w:r>
      <w:r>
        <w:rPr>
          <w:rFonts w:ascii="宋体" w:hAnsi="宋体" w:eastAsia="宋体" w:cs="宋体"/>
          <w:b/>
          <w:bCs/>
          <w:spacing w:val="-3"/>
          <w:sz w:val="24"/>
          <w:szCs w:val="24"/>
        </w:rPr>
        <w:t>安全投入和资金保障</w:t>
      </w:r>
    </w:p>
    <w:p w14:paraId="5E552D4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1.甲方是承包业务安全投入的责任主体，负责完善和改进安全生产条件的资 金保障，并及时、足额向乙方提供承包业务所需的安全投入。</w:t>
      </w:r>
    </w:p>
    <w:p w14:paraId="0E31CF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2.甲方支付给乙方的承包业务款项中已包含安全生产费用，其内容包括但不 限于：配备和更新现场作业人员安全防护用品支出；购置反恐防暴器材费用支出； 为从业人员购买各类保险费用；安全宣传、教育、培训费用；安全生产检查、评 价、咨询、标准化建设支出；开展事故隐患评估、监控和整改支出；应急预案的 培训及演练费用支出；其他与安全生产、治安保卫直接相关的支出；职业健康及 检查费用支出等乙方为履行本协议项下安全生产事项所需的全部费用。</w:t>
      </w:r>
    </w:p>
    <w:p w14:paraId="083AB69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3.乙方应当按照相关法律、法规、规章和标准的有关规定和本协议，保证将 甲方支付的安全生产费用落实到位、专款专用，不断完善承包业务的安全作业条 件，且甲方对此有权进行监督。</w:t>
      </w:r>
    </w:p>
    <w:p w14:paraId="711F6CD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4.乙方应当明确其用于从业人员的工伤保险等费用，其金额为：不少于人均 工资总额的</w:t>
      </w:r>
      <w:r>
        <w:rPr>
          <w:rFonts w:hint="eastAsia" w:ascii="宋体" w:hAnsi="宋体" w:eastAsia="宋体" w:cs="宋体"/>
          <w:snapToGrid/>
          <w:color w:val="000000"/>
          <w:kern w:val="2"/>
          <w:sz w:val="24"/>
          <w:szCs w:val="24"/>
          <w:u w:val="single"/>
          <w:lang w:val="en-US" w:eastAsia="zh-CN"/>
        </w:rPr>
        <w:t xml:space="preserve"> </w:t>
      </w:r>
      <w:r>
        <w:rPr>
          <w:rFonts w:hint="eastAsia" w:ascii="宋体" w:hAnsi="宋体" w:eastAsia="宋体" w:cs="宋体"/>
          <w:snapToGrid/>
          <w:color w:val="000000"/>
          <w:kern w:val="2"/>
          <w:sz w:val="24"/>
          <w:szCs w:val="24"/>
          <w:u w:val="single"/>
          <w:lang w:eastAsia="zh-CN"/>
        </w:rPr>
        <w:t xml:space="preserve">1% </w:t>
      </w:r>
      <w:r>
        <w:rPr>
          <w:rFonts w:hint="eastAsia" w:ascii="宋体" w:hAnsi="宋体" w:eastAsia="宋体" w:cs="宋体"/>
          <w:snapToGrid/>
          <w:color w:val="000000"/>
          <w:kern w:val="2"/>
          <w:sz w:val="24"/>
          <w:szCs w:val="24"/>
          <w:lang w:eastAsia="zh-CN"/>
        </w:rPr>
        <w:t>。</w:t>
      </w:r>
    </w:p>
    <w:p w14:paraId="254C7C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5.乙方在进场施工</w:t>
      </w:r>
      <w:r>
        <w:rPr>
          <w:rFonts w:hint="eastAsia" w:ascii="宋体" w:hAnsi="宋体" w:eastAsia="宋体" w:cs="宋体"/>
          <w:snapToGrid/>
          <w:color w:val="000000"/>
          <w:kern w:val="2"/>
          <w:sz w:val="24"/>
          <w:szCs w:val="24"/>
          <w:u w:val="single"/>
          <w:lang w:eastAsia="zh-CN"/>
        </w:rPr>
        <w:t xml:space="preserve"> 7 </w:t>
      </w:r>
      <w:r>
        <w:rPr>
          <w:rFonts w:hint="eastAsia" w:ascii="宋体" w:hAnsi="宋体" w:eastAsia="宋体" w:cs="宋体"/>
          <w:snapToGrid/>
          <w:color w:val="000000"/>
          <w:kern w:val="2"/>
          <w:sz w:val="24"/>
          <w:szCs w:val="24"/>
          <w:lang w:eastAsia="zh-CN"/>
        </w:rPr>
        <w:t>日前就本项目向甲方缴纳安全风险抵押金</w:t>
      </w:r>
      <w:r>
        <w:rPr>
          <w:rFonts w:hint="eastAsia" w:ascii="宋体" w:hAnsi="宋体" w:eastAsia="宋体" w:cs="宋体"/>
          <w:snapToGrid/>
          <w:color w:val="000000"/>
          <w:kern w:val="2"/>
          <w:sz w:val="24"/>
          <w:szCs w:val="24"/>
          <w:u w:val="single"/>
          <w:lang w:eastAsia="zh-CN"/>
        </w:rPr>
        <w:t xml:space="preserve"> 50000.00 </w:t>
      </w:r>
      <w:r>
        <w:rPr>
          <w:rFonts w:hint="eastAsia" w:ascii="宋体" w:hAnsi="宋体" w:eastAsia="宋体" w:cs="宋体"/>
          <w:snapToGrid/>
          <w:color w:val="000000"/>
          <w:kern w:val="2"/>
          <w:sz w:val="24"/>
          <w:szCs w:val="24"/>
          <w:lang w:eastAsia="zh-CN"/>
        </w:rPr>
        <w:t>元人民币大写：</w:t>
      </w:r>
      <w:r>
        <w:rPr>
          <w:rFonts w:hint="eastAsia" w:ascii="宋体" w:hAnsi="宋体" w:eastAsia="宋体" w:cs="宋体"/>
          <w:snapToGrid/>
          <w:color w:val="000000"/>
          <w:kern w:val="2"/>
          <w:sz w:val="24"/>
          <w:szCs w:val="24"/>
          <w:u w:val="single"/>
          <w:lang w:eastAsia="zh-CN"/>
        </w:rPr>
        <w:t xml:space="preserve"> 伍万元整  </w:t>
      </w:r>
      <w:r>
        <w:rPr>
          <w:rFonts w:hint="eastAsia" w:ascii="宋体" w:hAnsi="宋体" w:eastAsia="宋体" w:cs="宋体"/>
          <w:snapToGrid/>
          <w:color w:val="000000"/>
          <w:kern w:val="2"/>
          <w:sz w:val="24"/>
          <w:szCs w:val="24"/>
          <w:lang w:eastAsia="zh-CN"/>
        </w:rPr>
        <w:t>，安全风险抵押金交财务部门。工程竣工验收合格，乙方未发生安全生产事故及违反本协议约定的安全条款，甲方将安全风险抵押金 （无息）于一个月内返回乙方。</w:t>
      </w:r>
    </w:p>
    <w:p w14:paraId="466CD615">
      <w:pPr>
        <w:spacing w:before="37" w:line="219" w:lineRule="auto"/>
        <w:ind w:left="480"/>
        <w:rPr>
          <w:rFonts w:ascii="宋体" w:hAnsi="宋体" w:eastAsia="宋体" w:cs="宋体"/>
          <w:sz w:val="24"/>
          <w:szCs w:val="24"/>
        </w:rPr>
      </w:pPr>
      <w:r>
        <w:rPr>
          <w:rFonts w:ascii="宋体" w:hAnsi="宋体" w:eastAsia="宋体" w:cs="宋体"/>
          <w:b/>
          <w:bCs/>
          <w:spacing w:val="-8"/>
          <w:sz w:val="24"/>
          <w:szCs w:val="24"/>
        </w:rPr>
        <w:t>第七条</w:t>
      </w:r>
      <w:r>
        <w:rPr>
          <w:rFonts w:ascii="宋体" w:hAnsi="宋体" w:eastAsia="宋体" w:cs="宋体"/>
          <w:spacing w:val="23"/>
          <w:sz w:val="24"/>
          <w:szCs w:val="24"/>
        </w:rPr>
        <w:t xml:space="preserve">  </w:t>
      </w:r>
      <w:r>
        <w:rPr>
          <w:rFonts w:ascii="宋体" w:hAnsi="宋体" w:eastAsia="宋体" w:cs="宋体"/>
          <w:b/>
          <w:bCs/>
          <w:spacing w:val="-8"/>
          <w:sz w:val="24"/>
          <w:szCs w:val="24"/>
        </w:rPr>
        <w:t>甲方权利义务</w:t>
      </w:r>
    </w:p>
    <w:p w14:paraId="2F0A5A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1.甲方应当保证乙方作业有关的生产系统安全设施正常运行，具备法律、法 规、规章和标准规定的安全生产条件。</w:t>
      </w:r>
    </w:p>
    <w:p w14:paraId="4FF2AB8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2.甲方应当为乙方提供安全生产所必要的作业条件。施工期间甲方有权督促 检查乙方搞好安全生产、防火管理。甲方有权检查督促乙方执行安全生产、防火 管理等方面各项规定，对乙方不符合安全文明施工的行为进行制止、纠正并下发 安全隐患整改通知书，直至清退出场。</w:t>
      </w:r>
    </w:p>
    <w:p w14:paraId="6E66290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3.甲方对乙方提供的有效业务资质证照等资料进行备案。</w:t>
      </w:r>
    </w:p>
    <w:p w14:paraId="3FC21F1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4.甲方对乙方提供的具有职业健康检查和职业病诊断资质的机构出具的工 作人员体检报告等资料进行备案。</w:t>
      </w:r>
    </w:p>
    <w:p w14:paraId="0354B64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5.工程施工贯彻先订合同后施工的原则。甲方不得指派乙方人员从事合同外 的施工任务，乙方应拒绝合同外的施工任务。</w:t>
      </w:r>
    </w:p>
    <w:p w14:paraId="32497A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6.甲乙双方应建立完善应急救援预案，编配相应人员，保障通讯、应急设备、 物资、器材落实，并保障24小时通讯顺畅，设备完好有效。一旦发生事故，乙方 应第一时间启动应急预案，甲乙双方协调一致，充分调动应急资源开展事故救援工作。</w:t>
      </w:r>
    </w:p>
    <w:p w14:paraId="4F813F88">
      <w:pPr>
        <w:spacing w:before="32" w:line="219" w:lineRule="auto"/>
        <w:ind w:left="480"/>
        <w:rPr>
          <w:rFonts w:ascii="宋体" w:hAnsi="宋体" w:eastAsia="宋体" w:cs="宋体"/>
          <w:sz w:val="24"/>
          <w:szCs w:val="24"/>
        </w:rPr>
      </w:pPr>
      <w:r>
        <w:rPr>
          <w:rFonts w:ascii="宋体" w:hAnsi="宋体" w:eastAsia="宋体" w:cs="宋体"/>
          <w:b/>
          <w:bCs/>
          <w:spacing w:val="-7"/>
          <w:sz w:val="24"/>
          <w:szCs w:val="24"/>
        </w:rPr>
        <w:t>第八条</w:t>
      </w:r>
      <w:r>
        <w:rPr>
          <w:rFonts w:ascii="宋体" w:hAnsi="宋体" w:eastAsia="宋体" w:cs="宋体"/>
          <w:spacing w:val="18"/>
          <w:sz w:val="24"/>
          <w:szCs w:val="24"/>
        </w:rPr>
        <w:t xml:space="preserve">  </w:t>
      </w:r>
      <w:r>
        <w:rPr>
          <w:rFonts w:ascii="宋体" w:hAnsi="宋体" w:eastAsia="宋体" w:cs="宋体"/>
          <w:b/>
          <w:bCs/>
          <w:spacing w:val="-7"/>
          <w:sz w:val="24"/>
          <w:szCs w:val="24"/>
        </w:rPr>
        <w:t>乙方权利义务</w:t>
      </w:r>
    </w:p>
    <w:p w14:paraId="706F40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1.乙方应当具备法律法规、国家标准或行业标准规定的安全生产施工资质及 条件，乙方所提供的承包工程要求的相关资质证明材料应真实、合法、有效。</w:t>
      </w:r>
    </w:p>
    <w:p w14:paraId="151C219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2.乙方应有安全管理组织体制，包括抓安全生产的领导、各级专职和兼职的 安全干部（专职安全管理人员数量不得少于总从业人员数量的2%），应有各工种 的安全操作规程，特种作业人员的审证考核制度及各级安全生产岗位责任制和定 期安全检查制度、安全教育制度等。</w:t>
      </w:r>
    </w:p>
    <w:p w14:paraId="45A099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3.施工前，乙方对其管理及施工人员进行安全生产进场教育，介绍有关安全 生产管理制度、规定和要求，并组织召开管理及施工人员安全生产教育会议，并 通知甲方委托有关人员出席会议，介绍施工中有关安全，防火等规章制度及要求； 乙方及其管理人员须认真检查、督促施工人员严格遵守，认真执行。</w:t>
      </w:r>
    </w:p>
    <w:p w14:paraId="681EB5C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4.乙方应将相关资质、施工安全管理组织机构、管理制度和操作规程、安全 管理和技术人员、特种作业人员持证、主要安全设备设施等情况提供给甲方备案， 乙方自行保证相关材料的合法、真实性。</w:t>
      </w:r>
    </w:p>
    <w:p w14:paraId="565DF2F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5.施工期间，乙方对工程施工现场的安全生产工作管理负责。乙方指派专人 负责本工程项目的有关安全、防火工作；甲方指派专人负责联系，检查督促乙方 执行有关安全，防火规定。</w:t>
      </w:r>
    </w:p>
    <w:p w14:paraId="1BB9DE2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6.乙方施工人员在施工前应对所在的施工区域、作业环境、操作设施设备、 工具用具等进行认真检查，发现隐患，立即停止施工，并由有关单位落实整改后 方准施工。一经施工，就表示乙方确认施工场所、作业环境、设施设备、工具用 具等符合安全要求和处于安全状态。乙方对施工过程中由于上述不良因素而导致 的事故后果负责。</w:t>
      </w:r>
    </w:p>
    <w:p w14:paraId="5CB069C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7.机械设备、脚手架等设施，在搭设、安装完毕使用前，乙方应按规定检查 验收，并作好验收及交付使用的书面记录；乙方须对设备、设施严格监管，并及 时制止未经检查或检查不合格的情况下的使用行为，因乙方监管不力造成的后果 由乙方承担责任。</w:t>
      </w:r>
    </w:p>
    <w:p w14:paraId="7C3A665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8.在施工期间所使用工具乙方自备，乙方如需借用或租赁甲方工具的，乙方 有关人员需办理借用或租赁手续，制订有关安全使用和管理制度。乙方应就借入 工具进行检验，一经接收，设备和工具的保管，维修应由乙方负责，并严格执行 安全操作规程。在使用过程中，用于设备、工具因素或使用操作不当而造成伤亡 事故，由乙方自行负责负责。</w:t>
      </w:r>
    </w:p>
    <w:p w14:paraId="7E5FB1E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9.乙方人员，对施工的现场脚手架、各类安全防护设施、安全标志和警告牌， 不得擅自拆除、更动。如确实需要拆除更动的，必须经工地乙方安全管理人员的 同意，并采取必要、可靠的安全措施后方能拆除。</w:t>
      </w:r>
    </w:p>
    <w:p w14:paraId="70D51D9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10.特种作业必须执行国家《特种作业人员安全技术培训考核管理规定》，</w:t>
      </w:r>
    </w:p>
    <w:p w14:paraId="476D7B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经特种作业资格管理部门考核合格后持证上岗，并按规定定期审证。中、小型机 械的操作人员必须按规定做到“定机定人 ”和有证操作；起重吊装作业人员必须 遵守“十不吊 ”规定，严禁违章，无证操作；严禁不懂电器、机械设备的人，擅 自操作使用电器、机械设备。</w:t>
      </w:r>
    </w:p>
    <w:p w14:paraId="60489E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11.乙方必须严格执行各类防火防爆制度，易燃易爆场所严禁吸烟及动用明 火，消防器材不准挪作他用。电焊、气割作业应按规定办理动火审批手续，严格</w:t>
      </w:r>
    </w:p>
    <w:p w14:paraId="5C9741C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遵守“十不烧 ”规定，严禁使用电炉。冬季施工如必须采用明火加热的防冻措施 时，应取得甲方防火主管人员同意，落实防火、防中毒措施，并指派专人值班。</w:t>
      </w:r>
    </w:p>
    <w:p w14:paraId="153EDC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12.乙方需用甲方提供的电气设备时，在使用前应先进行检测，并做好检测 记录，如不符合安全规定的应及时向甲方提出，甲方应积极整改，整改合格后方 准使用，违反本规定或不经甲方许可，擅自乱拉电器线路造成的后果均由乙方负 责。</w:t>
      </w:r>
    </w:p>
    <w:p w14:paraId="33E66B1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13.乙方在施工中，应注意地下管线及高压架空线路的保护。甲方对地下管 线和障碍物应详细交底，乙方应贯彻交底要求，如遇有情况，应及时向甲方和有 关部门联系，采取保护措施。</w:t>
      </w:r>
    </w:p>
    <w:p w14:paraId="2E4C3C1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14.乙方在签订建设工程施工合同后开始施工前，必须到安监部门办理安全 施工备案手续。</w:t>
      </w:r>
    </w:p>
    <w:p w14:paraId="0802F1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15.贯彻谁施工谁负责安全的原则。乙方在施工期间造成伤亡、火警、火灾、 机械等事故，乙方应积极进行抢救伤员和保护现场，按国家有关事故报告规定及 时报告上级主管部门、政府安全生产监督管理局以及负有安全生产监督管理职责 的相关部门。事故的损失和善后处理费用，由乙方自行负责。</w:t>
      </w:r>
    </w:p>
    <w:p w14:paraId="2245859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16.乙方技术服务人员必须按甲方的要求使用个人防护用品，并对其有效性 负责，配发标准应报甲方备案，由甲方进行监督检查；并根据甲方门卫管理制度 办理有关入厂手续。在进入甲方厂区时，乙方人员要自觉接受甲方门卫检查，严 禁携带有关违禁物品进入厂区，否则按甲方有关制度处罚。</w:t>
      </w:r>
    </w:p>
    <w:p w14:paraId="21A185E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17.乙方进入甲方厂区时必须在甲方人员的引导下进入工作区，严禁进入与 自己工作无关的区域。</w:t>
      </w:r>
    </w:p>
    <w:p w14:paraId="303B1C3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18.乙方在为甲方进行技术服务时，未经甲方人员同意，不得动用装置区域 任何阀门、开关灯设施，若有违反，按照甲方有关制度处罚，造成后果由乙方负 全部责任。</w:t>
      </w:r>
    </w:p>
    <w:p w14:paraId="5C498EC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19.乙方应当明确其作业人员和设备设施的情况，具体内容如下：</w:t>
      </w:r>
    </w:p>
    <w:p w14:paraId="759821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19.1安全管理人员、技术人员和特种作业人员的姓名、身份证号、性别、年 龄、文化程度、所在岗位和资格证书。</w:t>
      </w:r>
    </w:p>
    <w:p w14:paraId="3004200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19.2其他从业人员的姓名、身份证号、性别、年龄、文化程度。 19.3主要设备设施的名称、型号规格、数量、位置等情况。</w:t>
      </w:r>
    </w:p>
    <w:p w14:paraId="5F6A305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20.乙方用工必须符合《劳动法》等相关法律法规及地方的有关规定，与所 雇佣员工签订劳动协议并在甲方备案。乙方应在劳务合同中对工人工作环境中存 在的职业病危害因素、防护措施及可能导致的职业病进行告知，并进行相关培训。</w:t>
      </w:r>
    </w:p>
    <w:p w14:paraId="4C865D1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21.乙方负责为在所承包业务范围内的所有员工购买在用工期间的足额工伤 保险及高危行业人身意外伤害保险，并将购买保单复印件交甲方备案。</w:t>
      </w:r>
    </w:p>
    <w:p w14:paraId="3AC25E86">
      <w:pPr>
        <w:spacing w:before="34" w:line="219" w:lineRule="auto"/>
        <w:ind w:left="494"/>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w:t>
      </w:r>
      <w:r>
        <w:rPr>
          <w:rFonts w:ascii="宋体" w:hAnsi="宋体" w:eastAsia="宋体" w:cs="宋体"/>
          <w:b/>
          <w:bCs/>
          <w:spacing w:val="-3"/>
          <w:sz w:val="24"/>
          <w:szCs w:val="24"/>
        </w:rPr>
        <w:t>项目建设施工现场二十条措施</w:t>
      </w:r>
    </w:p>
    <w:p w14:paraId="5900FEF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一、开工前，核查参建单位的合同履约情况，确保资质证件有效，人证合一， 关键岗位人员配置到位，坚决杜绝违法分包、转包。</w:t>
      </w:r>
    </w:p>
    <w:p w14:paraId="65207BE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二、必须建立分级管理动态信息表，确保每一处分包单位或作业人员信息真 实准确，并签订个人安全生产承诺书。</w:t>
      </w:r>
    </w:p>
    <w:p w14:paraId="1E2E449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三、进入施工现场的作业人员必须经安全培训教育且考试合格。</w:t>
      </w:r>
    </w:p>
    <w:p w14:paraId="2F0A95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四、现场施工作业人员必须熟知本工种的安全操作规程和安全管理规定，不 得违章作业。</w:t>
      </w:r>
    </w:p>
    <w:p w14:paraId="378AACB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五、特种作业人员必须持有效证件上岗作业。</w:t>
      </w:r>
    </w:p>
    <w:p w14:paraId="0CFE10E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六、个人防护用品（安全帽、安全带、护目镜等）未正确佩戴禁止入场作业。</w:t>
      </w:r>
    </w:p>
    <w:p w14:paraId="2EF61E0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七、各类施工作业前，必须组织相关作业人员进行安全技术交底、安全操作 交底、安全责任交底。</w:t>
      </w:r>
    </w:p>
    <w:p w14:paraId="1E03105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八、各施工现场每日组织召开班前安全例会，开展开工前隐患排查，问题隐 患消除后进行施工作业，隐患未排除坚决杜绝开工。</w:t>
      </w:r>
    </w:p>
    <w:p w14:paraId="1FC64F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九、严格落实“ 网格化 ”安全施工管理要求，每个施工点（单元）必须配备 “ 网格 ”专职安管或监护人员。</w:t>
      </w:r>
    </w:p>
    <w:p w14:paraId="6D6EBE4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十、必须对现场施工存在安全风险的作业活动、设备设施、危险源等进行辨 识分析，并严格落实管控措施。</w:t>
      </w:r>
    </w:p>
    <w:p w14:paraId="034B113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十一、施工现场存在交叉作业或多方作业的，后进施工单位要按照先进施工 单位（或谁的场地）的要求进行施工作业， 并对特殊作业实行“双监护 ”。</w:t>
      </w:r>
    </w:p>
    <w:p w14:paraId="35099F3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十二、各方先后工序必须正式交接后，方可开始下一步工序施工，未进行工 序交接严禁作业。</w:t>
      </w:r>
    </w:p>
    <w:p w14:paraId="52E463D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十三、严格“八大类 ”特殊作业审批，作业前编制特殊作业安全技术措施， 坚决落实特殊作业“一处一旁站 ”要求。十四、有限空间作业必须落实“先通风、后检测、再作业 ”的要求，且要全 程录像。</w:t>
      </w:r>
    </w:p>
    <w:p w14:paraId="0F06A07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十五、塔器、容器、储罐、水池及深度 1.5 米以上的基坑、管沟内作业必 须按有限空间作业管控措施执行落实。</w:t>
      </w:r>
    </w:p>
    <w:p w14:paraId="04DD10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十六、管廊、塔器等高处作业时，必须佩戴安全带，搭设施工平台或设置防 坠网。</w:t>
      </w:r>
    </w:p>
    <w:p w14:paraId="199B6A1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十七、管线、站场等地下设施未探明、施工方案未审批、监护各方未就位禁 止施工。</w:t>
      </w:r>
    </w:p>
    <w:p w14:paraId="7B03B1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十八、施工现场使用的各类机器具，必须有合格证；特种设备、大型机具必 须检验合格，专人负责，维护保养到位。</w:t>
      </w:r>
    </w:p>
    <w:p w14:paraId="20AEC62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十九、深基坑、管沟开挖、顶管等各类高危施工作业，危大工程施工必须编 制“施工组织方案 ”且要通过技术负责人、总监理工程师审核批准后方可施工， 同时落实“一处一方案一审批一监护 ”要求。</w:t>
      </w:r>
    </w:p>
    <w:p w14:paraId="7A380B7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二十、下班前进行检查确认，机电设备是否拉闸、断电、门上锁，用火是否 熄灭，料净场清，方可离开现场</w:t>
      </w:r>
    </w:p>
    <w:p w14:paraId="70436B53">
      <w:pPr>
        <w:spacing w:before="181" w:line="219" w:lineRule="auto"/>
        <w:ind w:left="483"/>
        <w:rPr>
          <w:rFonts w:ascii="宋体" w:hAnsi="宋体" w:eastAsia="宋体" w:cs="宋体"/>
          <w:sz w:val="24"/>
          <w:szCs w:val="24"/>
        </w:rPr>
      </w:pPr>
      <w:r>
        <w:rPr>
          <w:rFonts w:ascii="宋体" w:hAnsi="宋体" w:eastAsia="宋体" w:cs="宋体"/>
          <w:b/>
          <w:bCs/>
          <w:spacing w:val="-3"/>
          <w:sz w:val="24"/>
          <w:szCs w:val="24"/>
        </w:rPr>
        <w:t>第十条</w:t>
      </w:r>
      <w:r>
        <w:rPr>
          <w:rFonts w:ascii="宋体" w:hAnsi="宋体" w:eastAsia="宋体" w:cs="宋体"/>
          <w:spacing w:val="-3"/>
          <w:sz w:val="24"/>
          <w:szCs w:val="24"/>
        </w:rPr>
        <w:t xml:space="preserve"> </w:t>
      </w:r>
      <w:r>
        <w:rPr>
          <w:rFonts w:ascii="宋体" w:hAnsi="宋体" w:eastAsia="宋体" w:cs="宋体"/>
          <w:b/>
          <w:bCs/>
          <w:spacing w:val="-3"/>
          <w:sz w:val="24"/>
          <w:szCs w:val="24"/>
        </w:rPr>
        <w:t>外包作业十五大禁令</w:t>
      </w:r>
    </w:p>
    <w:p w14:paraId="529AE2B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一、施工及监理主要管理人员未到岗严禁开工</w:t>
      </w:r>
    </w:p>
    <w:p w14:paraId="669F57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二、现场风险未识别措施未落实严禁作业</w:t>
      </w:r>
    </w:p>
    <w:p w14:paraId="08D1AA3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三、超危大工程未论证措施未落实严禁作业</w:t>
      </w:r>
    </w:p>
    <w:p w14:paraId="060A029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四、培训考核不合格特种人员未持证严禁作业</w:t>
      </w:r>
    </w:p>
    <w:p w14:paraId="60E449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五、个人防护用品（PPE）未正确配戴严禁作业</w:t>
      </w:r>
    </w:p>
    <w:p w14:paraId="2F2E78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六、夜间严禁高风险作业</w:t>
      </w:r>
    </w:p>
    <w:p w14:paraId="256D063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七、特殊作业未办理票证监护未到位严禁作业</w:t>
      </w:r>
    </w:p>
    <w:p w14:paraId="5774102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八、专项方案未审批交底未进行严禁作业</w:t>
      </w:r>
    </w:p>
    <w:p w14:paraId="27E0FC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九、有限空间未落实先通风后检测严禁作业</w:t>
      </w:r>
    </w:p>
    <w:p w14:paraId="0A139D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十、作业条件不符合要求未进行工序交接严禁作业</w:t>
      </w:r>
    </w:p>
    <w:p w14:paraId="148E4B3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十一、属地未告知调度未同意严禁作业</w:t>
      </w:r>
    </w:p>
    <w:p w14:paraId="2587B6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十二、特种设备未验收协管人员未配备严禁进场</w:t>
      </w:r>
    </w:p>
    <w:p w14:paraId="568599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十三、未办理入场证件严禁进入作业现场</w:t>
      </w:r>
    </w:p>
    <w:p w14:paraId="27B5240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十四、事故隐患未消除严禁作业</w:t>
      </w:r>
    </w:p>
    <w:p w14:paraId="49E5112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十五、地下设施未探明方案未审批监护各方未到位严禁作业</w:t>
      </w:r>
    </w:p>
    <w:p w14:paraId="07BB22D7">
      <w:pPr>
        <w:spacing w:before="180" w:line="219" w:lineRule="auto"/>
        <w:ind w:left="482"/>
        <w:rPr>
          <w:rFonts w:ascii="宋体" w:hAnsi="宋体" w:eastAsia="宋体" w:cs="宋体"/>
          <w:sz w:val="24"/>
          <w:szCs w:val="24"/>
        </w:rPr>
      </w:pPr>
      <w:r>
        <w:rPr>
          <w:rFonts w:ascii="宋体" w:hAnsi="宋体" w:eastAsia="宋体" w:cs="宋体"/>
          <w:b/>
          <w:bCs/>
          <w:spacing w:val="-5"/>
          <w:sz w:val="24"/>
          <w:szCs w:val="24"/>
        </w:rPr>
        <w:t>第十一条</w:t>
      </w:r>
      <w:r>
        <w:rPr>
          <w:rFonts w:ascii="宋体" w:hAnsi="宋体" w:eastAsia="宋体" w:cs="宋体"/>
          <w:spacing w:val="24"/>
          <w:sz w:val="24"/>
          <w:szCs w:val="24"/>
        </w:rPr>
        <w:t xml:space="preserve"> </w:t>
      </w:r>
      <w:r>
        <w:rPr>
          <w:rFonts w:ascii="宋体" w:hAnsi="宋体" w:eastAsia="宋体" w:cs="宋体"/>
          <w:b/>
          <w:bCs/>
          <w:spacing w:val="-5"/>
          <w:sz w:val="24"/>
          <w:szCs w:val="24"/>
        </w:rPr>
        <w:t>隐患排查与治理</w:t>
      </w:r>
    </w:p>
    <w:p w14:paraId="6A0A573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1.甲方应当建立健全事故隐患排查治理和建档、监控等制度，定期对隐患排 查治理情况进行统计分析与报告。</w:t>
      </w:r>
    </w:p>
    <w:p w14:paraId="29E9CCB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2.乙方应当定期排查并及时治理作业范围内的事故隐患，做好相关记录，建 立台账，并及时向甲方报告。</w:t>
      </w:r>
    </w:p>
    <w:p w14:paraId="5013CE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3.乙方在作业范围内发现重大事故隐患后不能立即治理的，应当采取必要的 防范措施，并及时书面报告甲方协商解决，消除事故隐患。</w:t>
      </w:r>
    </w:p>
    <w:p w14:paraId="5041DA4D">
      <w:pPr>
        <w:spacing w:before="34" w:line="219" w:lineRule="auto"/>
        <w:ind w:left="482"/>
        <w:rPr>
          <w:rFonts w:ascii="宋体" w:hAnsi="宋体" w:eastAsia="宋体" w:cs="宋体"/>
          <w:sz w:val="24"/>
          <w:szCs w:val="24"/>
        </w:rPr>
      </w:pPr>
      <w:r>
        <w:rPr>
          <w:rFonts w:ascii="宋体" w:hAnsi="宋体" w:eastAsia="宋体" w:cs="宋体"/>
          <w:b/>
          <w:bCs/>
          <w:spacing w:val="-3"/>
          <w:sz w:val="24"/>
          <w:szCs w:val="24"/>
        </w:rPr>
        <w:t>第十二条</w:t>
      </w:r>
      <w:r>
        <w:rPr>
          <w:rFonts w:ascii="宋体" w:hAnsi="宋体" w:eastAsia="宋体" w:cs="宋体"/>
          <w:spacing w:val="-3"/>
          <w:sz w:val="24"/>
          <w:szCs w:val="24"/>
        </w:rPr>
        <w:t xml:space="preserve"> </w:t>
      </w:r>
      <w:r>
        <w:rPr>
          <w:rFonts w:ascii="宋体" w:hAnsi="宋体" w:eastAsia="宋体" w:cs="宋体"/>
          <w:b/>
          <w:bCs/>
          <w:spacing w:val="-3"/>
          <w:sz w:val="24"/>
          <w:szCs w:val="24"/>
        </w:rPr>
        <w:t>事故应急救援</w:t>
      </w:r>
    </w:p>
    <w:p w14:paraId="0F333D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（一）应急准备</w:t>
      </w:r>
    </w:p>
    <w:p w14:paraId="0CFC20E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1.乙方应当编制与作业相适应的突发性和群体性事故应急救援预案及反恐 防暴、维稳应急预案及事故应急预案，并定期组织演练或者参加甲方组织的演练。</w:t>
      </w:r>
    </w:p>
    <w:p w14:paraId="25CE34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2.乙方配置的应急救援设备设施和器材包括：员工个体防护应急器材等。</w:t>
      </w:r>
    </w:p>
    <w:p w14:paraId="3501A5A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（二）事故报告</w:t>
      </w:r>
    </w:p>
    <w:p w14:paraId="4B60C6F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1.发生事故后，事故现场有关人员应当立即向乙方项目部负责人报告；乙方 项目部负责人接到报告后，应当及时向甲、乙双方的负责人报告。</w:t>
      </w:r>
    </w:p>
    <w:p w14:paraId="3B3AC91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2.发生事故后，甲方负责人应当按照《生产安全事故报告和调查处理条例》 （国务院令第493号）等法律、法规、规章的规定程序进行报告。</w:t>
      </w:r>
    </w:p>
    <w:p w14:paraId="7E3A5E2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（三）事故救援</w:t>
      </w:r>
    </w:p>
    <w:p w14:paraId="34B41E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1.发生事故后，乙方应当按照专项应急预案或者应急处置发案立即开展事故 救援。</w:t>
      </w:r>
    </w:p>
    <w:p w14:paraId="11A86E8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2.发生事故后，甲方应当按照应急预案要求，立即开展应急救援，负责指挥、 协调事故救援工作，充分调动甲、乙双方的应急资源。</w:t>
      </w:r>
    </w:p>
    <w:p w14:paraId="216DB5C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（四）事故处理</w:t>
      </w:r>
    </w:p>
    <w:p w14:paraId="3003AE5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1.事故调查结案后，甲、乙双方根据事故调查处理结论承担各自相应责任。 2.甲方应当承担的经济处罚不得转嫁或者变相转嫁给乙方。</w:t>
      </w:r>
    </w:p>
    <w:p w14:paraId="3EA2824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3.根据事故调查处理结论，甲、乙双方相关人员承担各自相应责任。</w:t>
      </w:r>
    </w:p>
    <w:p w14:paraId="13F833C0">
      <w:pPr>
        <w:spacing w:before="181" w:line="219" w:lineRule="auto"/>
        <w:ind w:left="480"/>
        <w:rPr>
          <w:rFonts w:ascii="宋体" w:hAnsi="宋体" w:eastAsia="宋体" w:cs="宋体"/>
          <w:sz w:val="24"/>
          <w:szCs w:val="24"/>
        </w:rPr>
      </w:pPr>
      <w:r>
        <w:rPr>
          <w:rFonts w:ascii="宋体" w:hAnsi="宋体" w:eastAsia="宋体" w:cs="宋体"/>
          <w:b/>
          <w:bCs/>
          <w:spacing w:val="-2"/>
          <w:sz w:val="24"/>
          <w:szCs w:val="24"/>
        </w:rPr>
        <w:t>第十三条</w:t>
      </w:r>
      <w:r>
        <w:rPr>
          <w:rFonts w:ascii="宋体" w:hAnsi="宋体" w:eastAsia="宋体" w:cs="宋体"/>
          <w:spacing w:val="-2"/>
          <w:sz w:val="24"/>
          <w:szCs w:val="24"/>
        </w:rPr>
        <w:t xml:space="preserve">  </w:t>
      </w:r>
      <w:r>
        <w:rPr>
          <w:rFonts w:ascii="宋体" w:hAnsi="宋体" w:eastAsia="宋体" w:cs="宋体"/>
          <w:b/>
          <w:bCs/>
          <w:spacing w:val="-2"/>
          <w:sz w:val="24"/>
          <w:szCs w:val="24"/>
        </w:rPr>
        <w:t>保证安全施工措施</w:t>
      </w:r>
    </w:p>
    <w:p w14:paraId="2E8EC06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1.施工人员进入施工现场必须戴安全帽，凡是进入施工现场未戴安全帽的每 人每次罚款人民币200元。</w:t>
      </w:r>
    </w:p>
    <w:p w14:paraId="3E44B13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2.在高空作业人员必须佩带安全带，没有佩带安全带者，每人每次罚款人民 币500元。</w:t>
      </w:r>
    </w:p>
    <w:p w14:paraId="378003E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3.在施工现场需要进行接电，必须按照施工现场临时用电规范要求接电，未 按规范接电每次处以罚款人民币500元。</w:t>
      </w:r>
    </w:p>
    <w:p w14:paraId="1D7C374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4.在施工现场经行动火作业时（电焊作业、氧气乙炔作业），必须在项目部 开三级动火作业，在施工现场进行防火处理。未办理动火作业，每次罚款人民币 300元，引起火灾事故，乙方负全部责任。</w:t>
      </w:r>
    </w:p>
    <w:p w14:paraId="33220C5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5.甲方组织的安全会议，乙方在施工现场的人员应全部参加，未参加安全会 议的每人每次罚款20元。</w:t>
      </w:r>
    </w:p>
    <w:p w14:paraId="5CD30B4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6.甲方发现乙方的安全防护设施不能保证安全施工时，有权下令在一定期限 内整改；对未在期限内整改罚款人民币500元。甲方对乙方安全防护经行整改， 整改所有的费用在乙方工程款经行扣除。</w:t>
      </w:r>
    </w:p>
    <w:p w14:paraId="0C5A7C0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7.甲方有权制止乙方的违章作业，对重大违章行为有权责令其停工整顿；对 于乙方的违章行为，甲方对乙方罚款人民币1000元。</w:t>
      </w:r>
    </w:p>
    <w:p w14:paraId="50C6258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8.现场有其他违规违章的，按照“ 附件5：现场管理罚款标准明细表 ”进行处罚。</w:t>
      </w:r>
    </w:p>
    <w:p w14:paraId="337A04D9">
      <w:pPr>
        <w:spacing w:before="29" w:line="219" w:lineRule="auto"/>
        <w:ind w:left="507"/>
        <w:outlineLvl w:val="0"/>
        <w:rPr>
          <w:rFonts w:ascii="宋体" w:hAnsi="宋体" w:eastAsia="宋体" w:cs="宋体"/>
          <w:sz w:val="24"/>
          <w:szCs w:val="24"/>
        </w:rPr>
      </w:pPr>
      <w:r>
        <w:rPr>
          <w:rFonts w:ascii="宋体" w:hAnsi="宋体" w:eastAsia="宋体" w:cs="宋体"/>
          <w:b/>
          <w:bCs/>
          <w:spacing w:val="-4"/>
          <w:sz w:val="24"/>
          <w:szCs w:val="24"/>
        </w:rPr>
        <w:t>以上罚款，由项目经理签字，在工程款中直接扣除。</w:t>
      </w:r>
    </w:p>
    <w:p w14:paraId="12FD8F1E">
      <w:pPr>
        <w:spacing w:before="181" w:line="219" w:lineRule="auto"/>
        <w:ind w:left="482"/>
        <w:rPr>
          <w:rFonts w:ascii="宋体" w:hAnsi="宋体" w:eastAsia="宋体" w:cs="宋体"/>
          <w:sz w:val="24"/>
          <w:szCs w:val="24"/>
        </w:rPr>
      </w:pPr>
      <w:r>
        <w:rPr>
          <w:rFonts w:ascii="宋体" w:hAnsi="宋体" w:eastAsia="宋体" w:cs="宋体"/>
          <w:b/>
          <w:bCs/>
          <w:spacing w:val="-3"/>
          <w:sz w:val="24"/>
          <w:szCs w:val="24"/>
        </w:rPr>
        <w:t>第十四条</w:t>
      </w:r>
      <w:r>
        <w:rPr>
          <w:rFonts w:ascii="宋体" w:hAnsi="宋体" w:eastAsia="宋体" w:cs="宋体"/>
          <w:spacing w:val="-3"/>
          <w:sz w:val="24"/>
          <w:szCs w:val="24"/>
        </w:rPr>
        <w:t xml:space="preserve"> </w:t>
      </w:r>
      <w:r>
        <w:rPr>
          <w:rFonts w:ascii="宋体" w:hAnsi="宋体" w:eastAsia="宋体" w:cs="宋体"/>
          <w:b/>
          <w:bCs/>
          <w:spacing w:val="-3"/>
          <w:sz w:val="24"/>
          <w:szCs w:val="24"/>
        </w:rPr>
        <w:t>违约责任</w:t>
      </w:r>
    </w:p>
    <w:p w14:paraId="23350D1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（一）甲方违约</w:t>
      </w:r>
    </w:p>
    <w:p w14:paraId="0B9DE68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当发生下列情况之一的，甲方承担违约责任，依法赔偿给乙方造成的经济 损失，因违约造成生产安全事故的，按照相关法律、法规、规章的规定，甲方依 法承担相应责任。</w:t>
      </w:r>
    </w:p>
    <w:p w14:paraId="4E2E75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1.甲方违章指挥或强令乙方及其从业人员冒险作业的。</w:t>
      </w:r>
    </w:p>
    <w:p w14:paraId="4E44D39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2.甲方未提供安全生产必要条件。 3.未向乙方进行技术交底的。</w:t>
      </w:r>
    </w:p>
    <w:p w14:paraId="199077B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4.甲方未按合同或协议约定支付应当由甲方承担的安全生产费用的。 5.发生事故后，甲方未及时组织开展应急救援工作的。</w:t>
      </w:r>
    </w:p>
    <w:p w14:paraId="4E815E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6.甲方不履行协议义务或不按协议约定履行义务的其他情况。</w:t>
      </w:r>
    </w:p>
    <w:p w14:paraId="19039F4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（二）乙方违约</w:t>
      </w:r>
    </w:p>
    <w:p w14:paraId="2EABDD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当发生下列情况之一的，乙方应向甲方承担违约责任，依法赔偿给甲方造成 的经济损失；给第三方造成损害的，乙方应承担赔偿责任，甲方因此承担赔偿责 任的，有权向乙方追偿。因违约造成生产安全事故的，按照相关法律、法规、规 章的规定，乙方依法承担相应责任。</w:t>
      </w:r>
    </w:p>
    <w:p w14:paraId="60F7342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1.乙方未按合同或协议约定将甲方提供的安全生产费用落实到位、专款专用 的。</w:t>
      </w:r>
    </w:p>
    <w:p w14:paraId="2D562C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2.乙方提供的有关资质、证照已过期或无效的，或者安排证件已过期的各类 应持证人员和设备设施的，甲方有权解除本协议，并由乙方承担由此造成的一切 损失。</w:t>
      </w:r>
    </w:p>
    <w:p w14:paraId="466371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3.乙方人员违章指挥或违章作业的。</w:t>
      </w:r>
    </w:p>
    <w:p w14:paraId="3E886F0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4.乙方未设置安监人员；未正确、全面执行安全技术措施、施工组织设计； 施工人员未掌握本工程项目特点及施工安全措施；用于本工程项目的施工机械、 工器具及安全防护用品不满足施工需要，甲方有权要求乙方立即停工整改，由此 造成的后果及损失由乙方承担。</w:t>
      </w:r>
    </w:p>
    <w:p w14:paraId="5705CF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5.劳保用品配备不全、安全培训教育或技术交底不到位等乙方原因而引发安 全事故的。</w:t>
      </w:r>
    </w:p>
    <w:p w14:paraId="370A949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6.发生事故后，乙方未及时组织开展应急救援工作的。</w:t>
      </w:r>
    </w:p>
    <w:p w14:paraId="4E5FBD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7.乙方使用甲方提供的设施设备、工具器具等造成损失的，应照价赔偿。</w:t>
      </w:r>
    </w:p>
    <w:p w14:paraId="2460643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8.乙方人员无故到其他生产区域或擅自运用甲方的设施设备等，乙方按 </w:t>
      </w:r>
      <w:r>
        <w:rPr>
          <w:rFonts w:hint="eastAsia" w:ascii="宋体" w:hAnsi="宋体" w:eastAsia="宋体" w:cs="宋体"/>
          <w:snapToGrid/>
          <w:color w:val="000000"/>
          <w:kern w:val="2"/>
          <w:sz w:val="24"/>
          <w:szCs w:val="24"/>
          <w:u w:val="single"/>
          <w:lang w:eastAsia="zh-CN"/>
        </w:rPr>
        <w:t xml:space="preserve">1000 </w:t>
      </w:r>
      <w:r>
        <w:rPr>
          <w:rFonts w:hint="eastAsia" w:ascii="宋体" w:hAnsi="宋体" w:eastAsia="宋体" w:cs="宋体"/>
          <w:snapToGrid/>
          <w:color w:val="000000"/>
          <w:kern w:val="2"/>
          <w:sz w:val="24"/>
          <w:szCs w:val="24"/>
          <w:lang w:eastAsia="zh-CN"/>
        </w:rPr>
        <w:t>元/人次承担违约责任。</w:t>
      </w:r>
    </w:p>
    <w:p w14:paraId="38B209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9.乙方对甲方提出的安全整改意见在</w:t>
      </w:r>
      <w:r>
        <w:rPr>
          <w:rFonts w:hint="eastAsia" w:ascii="宋体" w:hAnsi="宋体" w:eastAsia="宋体" w:cs="宋体"/>
          <w:snapToGrid/>
          <w:color w:val="000000"/>
          <w:kern w:val="2"/>
          <w:sz w:val="24"/>
          <w:szCs w:val="24"/>
          <w:u w:val="single"/>
          <w:lang w:eastAsia="zh-CN"/>
        </w:rPr>
        <w:t xml:space="preserve"> 24 </w:t>
      </w:r>
      <w:r>
        <w:rPr>
          <w:rFonts w:hint="eastAsia" w:ascii="宋体" w:hAnsi="宋体" w:eastAsia="宋体" w:cs="宋体"/>
          <w:snapToGrid/>
          <w:color w:val="000000"/>
          <w:kern w:val="2"/>
          <w:sz w:val="24"/>
          <w:szCs w:val="24"/>
          <w:lang w:eastAsia="zh-CN"/>
        </w:rPr>
        <w:t>小时内不予整改的，每逾期一日， 乙方按</w:t>
      </w:r>
      <w:r>
        <w:rPr>
          <w:rFonts w:hint="eastAsia" w:ascii="宋体" w:hAnsi="宋体" w:eastAsia="宋体" w:cs="宋体"/>
          <w:snapToGrid/>
          <w:color w:val="000000"/>
          <w:kern w:val="2"/>
          <w:sz w:val="24"/>
          <w:szCs w:val="24"/>
          <w:u w:val="single"/>
          <w:lang w:eastAsia="zh-CN"/>
        </w:rPr>
        <w:t xml:space="preserve"> 3000 </w:t>
      </w:r>
      <w:r>
        <w:rPr>
          <w:rFonts w:hint="eastAsia" w:ascii="宋体" w:hAnsi="宋体" w:eastAsia="宋体" w:cs="宋体"/>
          <w:snapToGrid/>
          <w:color w:val="000000"/>
          <w:kern w:val="2"/>
          <w:sz w:val="24"/>
          <w:szCs w:val="24"/>
          <w:lang w:eastAsia="zh-CN"/>
        </w:rPr>
        <w:t>元/日承担违约责任。</w:t>
      </w:r>
    </w:p>
    <w:p w14:paraId="3C7EEB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10.发生事故的，除按国家有关规定处理外，甲方对乙方进行如下处罚：</w:t>
      </w:r>
    </w:p>
    <w:p w14:paraId="0F189F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（1）死亡一人，扣罚全部安全风险抵押金，并加罚安全风险抵押金的100%；</w:t>
      </w:r>
    </w:p>
    <w:p w14:paraId="1989ED4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（2）重伤一人次，扣罚全部安全风险抵押金，并加罚安全风险抵押金的</w:t>
      </w:r>
      <w:r>
        <w:rPr>
          <w:rFonts w:hint="eastAsia" w:ascii="宋体" w:hAnsi="宋体" w:eastAsia="宋体" w:cs="宋体"/>
          <w:snapToGrid/>
          <w:color w:val="000000"/>
          <w:kern w:val="2"/>
          <w:sz w:val="24"/>
          <w:szCs w:val="24"/>
          <w:u w:val="single"/>
          <w:lang w:eastAsia="zh-CN"/>
        </w:rPr>
        <w:t>50%</w:t>
      </w:r>
      <w:r>
        <w:rPr>
          <w:rFonts w:hint="eastAsia" w:ascii="宋体" w:hAnsi="宋体" w:eastAsia="宋体" w:cs="宋体"/>
          <w:snapToGrid/>
          <w:color w:val="000000"/>
          <w:kern w:val="2"/>
          <w:sz w:val="24"/>
          <w:szCs w:val="24"/>
          <w:lang w:eastAsia="zh-CN"/>
        </w:rPr>
        <w:t>；</w:t>
      </w:r>
    </w:p>
    <w:p w14:paraId="0B43CDE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（3）轻伤一人次，扣罚全部安全风险抵押金的</w:t>
      </w:r>
      <w:r>
        <w:rPr>
          <w:rFonts w:hint="eastAsia" w:ascii="宋体" w:hAnsi="宋体" w:eastAsia="宋体" w:cs="宋体"/>
          <w:snapToGrid/>
          <w:color w:val="000000"/>
          <w:kern w:val="2"/>
          <w:sz w:val="24"/>
          <w:szCs w:val="24"/>
          <w:u w:val="single"/>
          <w:lang w:eastAsia="zh-CN"/>
        </w:rPr>
        <w:t>10%</w:t>
      </w:r>
      <w:r>
        <w:rPr>
          <w:rFonts w:hint="eastAsia" w:ascii="宋体" w:hAnsi="宋体" w:eastAsia="宋体" w:cs="宋体"/>
          <w:snapToGrid/>
          <w:color w:val="000000"/>
          <w:kern w:val="2"/>
          <w:sz w:val="24"/>
          <w:szCs w:val="24"/>
          <w:lang w:eastAsia="zh-CN"/>
        </w:rPr>
        <w:t>；</w:t>
      </w:r>
    </w:p>
    <w:p w14:paraId="277FDCE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（4）发生事故隐瞒不报的，除按上述规定处罚外，另扣除安全风险抵押金 的</w:t>
      </w:r>
      <w:r>
        <w:rPr>
          <w:rFonts w:hint="eastAsia" w:ascii="宋体" w:hAnsi="宋体" w:eastAsia="宋体" w:cs="宋体"/>
          <w:snapToGrid/>
          <w:color w:val="000000"/>
          <w:kern w:val="2"/>
          <w:sz w:val="24"/>
          <w:szCs w:val="24"/>
          <w:u w:val="single"/>
          <w:lang w:eastAsia="zh-CN"/>
        </w:rPr>
        <w:t>20%</w:t>
      </w:r>
      <w:r>
        <w:rPr>
          <w:rFonts w:hint="eastAsia" w:ascii="宋体" w:hAnsi="宋体" w:eastAsia="宋体" w:cs="宋体"/>
          <w:snapToGrid/>
          <w:color w:val="000000"/>
          <w:kern w:val="2"/>
          <w:sz w:val="24"/>
          <w:szCs w:val="24"/>
          <w:lang w:eastAsia="zh-CN"/>
        </w:rPr>
        <w:t>；迟报、延报的扣除安全风险抵押金的10%。</w:t>
      </w:r>
    </w:p>
    <w:p w14:paraId="45C314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11.工程开工后未按公司规定及时办理备案手续的扣除安全风险抵押金的 2%。</w:t>
      </w:r>
    </w:p>
    <w:p w14:paraId="161FC5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12.危险性较大的分部分项工程，未制定专项施工方案，并经审核批准，擅 自施工的，责令限期整改，并处安全风险抵押金</w:t>
      </w:r>
      <w:r>
        <w:rPr>
          <w:rFonts w:hint="eastAsia" w:ascii="宋体" w:hAnsi="宋体" w:eastAsia="宋体" w:cs="宋体"/>
          <w:snapToGrid/>
          <w:color w:val="000000"/>
          <w:kern w:val="2"/>
          <w:sz w:val="24"/>
          <w:szCs w:val="24"/>
          <w:u w:val="single"/>
          <w:lang w:eastAsia="zh-CN"/>
        </w:rPr>
        <w:t>10%</w:t>
      </w:r>
      <w:r>
        <w:rPr>
          <w:rFonts w:hint="eastAsia" w:ascii="宋体" w:hAnsi="宋体" w:eastAsia="宋体" w:cs="宋体"/>
          <w:snapToGrid/>
          <w:color w:val="000000"/>
          <w:kern w:val="2"/>
          <w:sz w:val="24"/>
          <w:szCs w:val="24"/>
          <w:lang w:eastAsia="zh-CN"/>
        </w:rPr>
        <w:t>的罚款。</w:t>
      </w:r>
    </w:p>
    <w:p w14:paraId="67ADFE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13.公司检查评为不合格工地，在限定时间不积极整改，经公司复查仍不合 格的，扣罚安全风险抵押金的</w:t>
      </w:r>
      <w:r>
        <w:rPr>
          <w:rFonts w:hint="eastAsia" w:ascii="宋体" w:hAnsi="宋体" w:eastAsia="宋体" w:cs="宋体"/>
          <w:snapToGrid/>
          <w:color w:val="000000"/>
          <w:kern w:val="2"/>
          <w:sz w:val="24"/>
          <w:szCs w:val="24"/>
          <w:u w:val="single"/>
          <w:lang w:eastAsia="zh-CN"/>
        </w:rPr>
        <w:t>30%</w:t>
      </w:r>
      <w:r>
        <w:rPr>
          <w:rFonts w:hint="eastAsia" w:ascii="宋体" w:hAnsi="宋体" w:eastAsia="宋体" w:cs="宋体"/>
          <w:snapToGrid/>
          <w:color w:val="000000"/>
          <w:kern w:val="2"/>
          <w:sz w:val="24"/>
          <w:szCs w:val="24"/>
          <w:lang w:eastAsia="zh-CN"/>
        </w:rPr>
        <w:t>。</w:t>
      </w:r>
    </w:p>
    <w:p w14:paraId="580FF0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14.安全管理工作不到位，受到政府相关部门通报批评或其它处罚的，扣罚 安全风险抵押金的50%，被扣压公司《安全生产许可证》的，扣罚全部安全风险 抵押金。</w:t>
      </w:r>
    </w:p>
    <w:p w14:paraId="665C301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15.对违反本协议两条(含两条)以上的，分别计算，合并扣罚。 16.其他有违规的事项酌情扣罚。</w:t>
      </w:r>
    </w:p>
    <w:p w14:paraId="496373FA">
      <w:pPr>
        <w:pStyle w:val="6"/>
        <w:spacing w:line="259" w:lineRule="auto"/>
      </w:pPr>
    </w:p>
    <w:p w14:paraId="65F63332">
      <w:pPr>
        <w:pStyle w:val="6"/>
        <w:spacing w:line="259" w:lineRule="auto"/>
      </w:pPr>
    </w:p>
    <w:p w14:paraId="77532348">
      <w:pPr>
        <w:pStyle w:val="6"/>
        <w:spacing w:line="259" w:lineRule="auto"/>
      </w:pPr>
    </w:p>
    <w:p w14:paraId="40814815">
      <w:pPr>
        <w:pStyle w:val="6"/>
        <w:spacing w:line="259" w:lineRule="auto"/>
      </w:pPr>
    </w:p>
    <w:p w14:paraId="638C4378">
      <w:pPr>
        <w:spacing w:before="78" w:line="219" w:lineRule="auto"/>
        <w:ind w:left="480"/>
        <w:rPr>
          <w:rFonts w:ascii="宋体" w:hAnsi="宋体" w:eastAsia="宋体" w:cs="宋体"/>
          <w:sz w:val="24"/>
          <w:szCs w:val="24"/>
        </w:rPr>
      </w:pPr>
      <w:r>
        <w:rPr>
          <w:rFonts w:ascii="宋体" w:hAnsi="宋体" w:eastAsia="宋体" w:cs="宋体"/>
          <w:spacing w:val="-2"/>
          <w:sz w:val="24"/>
          <w:szCs w:val="24"/>
        </w:rPr>
        <w:t>承包人（盖章</w:t>
      </w:r>
      <w:r>
        <w:rPr>
          <w:rFonts w:ascii="宋体" w:hAnsi="宋体" w:eastAsia="宋体" w:cs="宋体"/>
          <w:sz w:val="24"/>
          <w:szCs w:val="24"/>
        </w:rPr>
        <w:t xml:space="preserve">）：                       </w:t>
      </w:r>
      <w:r>
        <w:rPr>
          <w:rFonts w:ascii="宋体" w:hAnsi="宋体" w:eastAsia="宋体" w:cs="宋体"/>
          <w:spacing w:val="-2"/>
          <w:sz w:val="24"/>
          <w:szCs w:val="24"/>
        </w:rPr>
        <w:t>分包人（盖章</w:t>
      </w:r>
      <w:r>
        <w:rPr>
          <w:rFonts w:ascii="宋体" w:hAnsi="宋体" w:eastAsia="宋体" w:cs="宋体"/>
          <w:sz w:val="24"/>
          <w:szCs w:val="24"/>
        </w:rPr>
        <w:t>）：</w:t>
      </w:r>
    </w:p>
    <w:p w14:paraId="4F1D3E18">
      <w:pPr>
        <w:pStyle w:val="6"/>
        <w:spacing w:line="258" w:lineRule="auto"/>
      </w:pPr>
    </w:p>
    <w:p w14:paraId="672BEC45">
      <w:pPr>
        <w:pStyle w:val="6"/>
        <w:spacing w:line="259" w:lineRule="auto"/>
      </w:pPr>
    </w:p>
    <w:p w14:paraId="1CE34CCF">
      <w:pPr>
        <w:spacing w:before="79" w:line="219" w:lineRule="auto"/>
        <w:ind w:left="481"/>
        <w:rPr>
          <w:rFonts w:ascii="宋体" w:hAnsi="宋体" w:eastAsia="宋体" w:cs="宋体"/>
          <w:sz w:val="24"/>
          <w:szCs w:val="24"/>
        </w:rPr>
      </w:pPr>
      <w:r>
        <w:rPr>
          <w:rFonts w:ascii="宋体" w:hAnsi="宋体" w:eastAsia="宋体" w:cs="宋体"/>
          <w:sz w:val="24"/>
          <w:szCs w:val="24"/>
        </w:rPr>
        <w:t xml:space="preserve">法定代表人或其                      </w:t>
      </w:r>
      <w:r>
        <w:rPr>
          <w:rFonts w:ascii="宋体" w:hAnsi="宋体" w:eastAsia="宋体" w:cs="宋体"/>
          <w:spacing w:val="-1"/>
          <w:sz w:val="24"/>
          <w:szCs w:val="24"/>
        </w:rPr>
        <w:t xml:space="preserve">     法定代表人或其</w:t>
      </w:r>
    </w:p>
    <w:p w14:paraId="2A852985">
      <w:pPr>
        <w:spacing w:before="181" w:line="219" w:lineRule="auto"/>
        <w:ind w:left="480"/>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pacing w:val="3"/>
          <w:sz w:val="24"/>
          <w:szCs w:val="24"/>
        </w:rPr>
        <w:t>）：</w:t>
      </w:r>
    </w:p>
    <w:p w14:paraId="7FD05017">
      <w:pPr>
        <w:pStyle w:val="6"/>
        <w:spacing w:line="259" w:lineRule="auto"/>
      </w:pPr>
    </w:p>
    <w:p w14:paraId="70581F00">
      <w:pPr>
        <w:pStyle w:val="6"/>
        <w:spacing w:line="259" w:lineRule="auto"/>
      </w:pPr>
    </w:p>
    <w:p w14:paraId="02EC399E">
      <w:pPr>
        <w:spacing w:before="78" w:line="219" w:lineRule="auto"/>
        <w:ind w:firstLine="618" w:firstLineChars="300"/>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2"/>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p>
    <w:p w14:paraId="63F52D94">
      <w:pPr>
        <w:spacing w:line="354" w:lineRule="auto"/>
        <w:rPr>
          <w:rFonts w:ascii="宋体" w:hAnsi="宋体" w:eastAsia="宋体" w:cs="宋体"/>
          <w:sz w:val="24"/>
          <w:szCs w:val="24"/>
        </w:rPr>
        <w:sectPr>
          <w:footerReference r:id="rId10" w:type="default"/>
          <w:pgSz w:w="11910" w:h="16850"/>
          <w:pgMar w:top="1419" w:right="1727" w:bottom="1343" w:left="1767" w:header="0" w:footer="1181" w:gutter="0"/>
          <w:cols w:space="720" w:num="1"/>
        </w:sectPr>
      </w:pPr>
    </w:p>
    <w:p w14:paraId="30B633E5">
      <w:pPr>
        <w:spacing w:before="78" w:line="219" w:lineRule="auto"/>
        <w:ind w:left="359"/>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3：</w:t>
      </w:r>
    </w:p>
    <w:p w14:paraId="1F510D1C">
      <w:pPr>
        <w:spacing w:before="145" w:line="256" w:lineRule="auto"/>
        <w:ind w:left="4009" w:right="2747" w:hanging="1274"/>
        <w:rPr>
          <w:rFonts w:ascii="宋体" w:hAnsi="宋体" w:eastAsia="宋体" w:cs="宋体"/>
          <w:sz w:val="30"/>
          <w:szCs w:val="30"/>
        </w:rPr>
      </w:pPr>
      <w:r>
        <w:rPr>
          <w:rFonts w:ascii="宋体" w:hAnsi="宋体" w:eastAsia="宋体" w:cs="宋体"/>
          <w:b/>
          <w:bCs/>
          <w:spacing w:val="-5"/>
          <w:sz w:val="30"/>
          <w:szCs w:val="30"/>
        </w:rPr>
        <w:t>现场管理罚款标准明细表（1）</w:t>
      </w:r>
      <w:r>
        <w:rPr>
          <w:rFonts w:ascii="宋体" w:hAnsi="宋体" w:eastAsia="宋体" w:cs="宋体"/>
          <w:sz w:val="30"/>
          <w:szCs w:val="30"/>
        </w:rPr>
        <w:t xml:space="preserve"> </w:t>
      </w:r>
      <w:r>
        <w:rPr>
          <w:rFonts w:ascii="宋体" w:hAnsi="宋体" w:eastAsia="宋体" w:cs="宋体"/>
          <w:b/>
          <w:bCs/>
          <w:spacing w:val="-5"/>
          <w:sz w:val="30"/>
          <w:szCs w:val="30"/>
        </w:rPr>
        <w:t>—安全方面</w:t>
      </w:r>
    </w:p>
    <w:tbl>
      <w:tblPr>
        <w:tblStyle w:val="9"/>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564"/>
      </w:tblGrid>
      <w:tr w14:paraId="3F07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13" w:type="dxa"/>
            <w:vAlign w:val="top"/>
          </w:tcPr>
          <w:p w14:paraId="5363E65C">
            <w:pPr>
              <w:pStyle w:val="10"/>
              <w:spacing w:before="189" w:line="221" w:lineRule="auto"/>
              <w:ind w:left="120"/>
              <w:rPr>
                <w:sz w:val="24"/>
                <w:szCs w:val="24"/>
              </w:rPr>
            </w:pPr>
            <w:r>
              <w:rPr>
                <w:spacing w:val="-5"/>
                <w:sz w:val="24"/>
                <w:szCs w:val="24"/>
              </w:rPr>
              <w:t>序号</w:t>
            </w:r>
          </w:p>
        </w:tc>
        <w:tc>
          <w:tcPr>
            <w:tcW w:w="7225" w:type="dxa"/>
            <w:vAlign w:val="top"/>
          </w:tcPr>
          <w:p w14:paraId="0E9CE249">
            <w:pPr>
              <w:pStyle w:val="10"/>
              <w:spacing w:before="190" w:line="219" w:lineRule="auto"/>
              <w:ind w:left="2663"/>
              <w:rPr>
                <w:sz w:val="24"/>
                <w:szCs w:val="24"/>
              </w:rPr>
            </w:pPr>
            <w:r>
              <w:rPr>
                <w:spacing w:val="-2"/>
                <w:sz w:val="24"/>
                <w:szCs w:val="24"/>
              </w:rPr>
              <w:t>受处罚行为或状态</w:t>
            </w:r>
          </w:p>
        </w:tc>
        <w:tc>
          <w:tcPr>
            <w:tcW w:w="1564" w:type="dxa"/>
            <w:vAlign w:val="top"/>
          </w:tcPr>
          <w:p w14:paraId="7BD4EB32">
            <w:pPr>
              <w:pStyle w:val="10"/>
              <w:spacing w:before="40" w:line="215" w:lineRule="auto"/>
              <w:ind w:left="366" w:right="108" w:hanging="240"/>
              <w:rPr>
                <w:sz w:val="24"/>
                <w:szCs w:val="24"/>
              </w:rPr>
            </w:pPr>
            <w:r>
              <w:rPr>
                <w:spacing w:val="-20"/>
                <w:sz w:val="24"/>
                <w:szCs w:val="24"/>
              </w:rPr>
              <w:t>罚款金额（元</w:t>
            </w:r>
            <w:r>
              <w:rPr>
                <w:spacing w:val="3"/>
                <w:sz w:val="24"/>
                <w:szCs w:val="24"/>
              </w:rPr>
              <w:t xml:space="preserve"> </w:t>
            </w:r>
            <w:r>
              <w:rPr>
                <w:spacing w:val="-3"/>
                <w:sz w:val="24"/>
                <w:szCs w:val="24"/>
              </w:rPr>
              <w:t>/人次）</w:t>
            </w:r>
          </w:p>
        </w:tc>
      </w:tr>
      <w:tr w14:paraId="374E4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13" w:type="dxa"/>
            <w:vAlign w:val="top"/>
          </w:tcPr>
          <w:p w14:paraId="70A657AD">
            <w:pPr>
              <w:pStyle w:val="10"/>
              <w:spacing w:before="176" w:line="184" w:lineRule="auto"/>
              <w:ind w:left="319"/>
              <w:rPr>
                <w:sz w:val="24"/>
                <w:szCs w:val="24"/>
              </w:rPr>
            </w:pPr>
            <w:r>
              <w:rPr>
                <w:sz w:val="24"/>
                <w:szCs w:val="24"/>
              </w:rPr>
              <w:t>1</w:t>
            </w:r>
          </w:p>
        </w:tc>
        <w:tc>
          <w:tcPr>
            <w:tcW w:w="7225" w:type="dxa"/>
            <w:vAlign w:val="top"/>
          </w:tcPr>
          <w:p w14:paraId="48C51EA1">
            <w:pPr>
              <w:pStyle w:val="10"/>
              <w:spacing w:before="139" w:line="219" w:lineRule="auto"/>
              <w:ind w:left="110"/>
              <w:rPr>
                <w:sz w:val="24"/>
                <w:szCs w:val="24"/>
              </w:rPr>
            </w:pPr>
            <w:r>
              <w:rPr>
                <w:spacing w:val="-1"/>
                <w:sz w:val="24"/>
                <w:szCs w:val="24"/>
              </w:rPr>
              <w:t>进入施工现场未佩戴或未正确佩戴安全帽（如未扣帽带）</w:t>
            </w:r>
          </w:p>
        </w:tc>
        <w:tc>
          <w:tcPr>
            <w:tcW w:w="1564" w:type="dxa"/>
            <w:vAlign w:val="top"/>
          </w:tcPr>
          <w:p w14:paraId="00BFFAB7">
            <w:pPr>
              <w:pStyle w:val="10"/>
              <w:spacing w:before="178" w:line="183" w:lineRule="auto"/>
              <w:ind w:left="610"/>
              <w:rPr>
                <w:sz w:val="24"/>
                <w:szCs w:val="24"/>
              </w:rPr>
            </w:pPr>
            <w:r>
              <w:rPr>
                <w:spacing w:val="-5"/>
                <w:sz w:val="24"/>
                <w:szCs w:val="24"/>
              </w:rPr>
              <w:t>200</w:t>
            </w:r>
          </w:p>
        </w:tc>
      </w:tr>
      <w:tr w14:paraId="219E1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6DDAD297">
            <w:pPr>
              <w:pStyle w:val="10"/>
              <w:spacing w:before="179" w:line="183" w:lineRule="auto"/>
              <w:ind w:left="304"/>
              <w:rPr>
                <w:sz w:val="24"/>
                <w:szCs w:val="24"/>
              </w:rPr>
            </w:pPr>
            <w:r>
              <w:rPr>
                <w:sz w:val="24"/>
                <w:szCs w:val="24"/>
              </w:rPr>
              <w:t>2</w:t>
            </w:r>
          </w:p>
        </w:tc>
        <w:tc>
          <w:tcPr>
            <w:tcW w:w="7225" w:type="dxa"/>
            <w:vAlign w:val="top"/>
          </w:tcPr>
          <w:p w14:paraId="29F6D32F">
            <w:pPr>
              <w:pStyle w:val="10"/>
              <w:spacing w:before="142" w:line="219" w:lineRule="auto"/>
              <w:ind w:left="118"/>
              <w:rPr>
                <w:sz w:val="24"/>
                <w:szCs w:val="24"/>
              </w:rPr>
            </w:pPr>
            <w:r>
              <w:rPr>
                <w:spacing w:val="-1"/>
                <w:sz w:val="24"/>
                <w:szCs w:val="24"/>
              </w:rPr>
              <w:t>高空作业未系或未正确系安全带（如未扣保险钩）</w:t>
            </w:r>
          </w:p>
        </w:tc>
        <w:tc>
          <w:tcPr>
            <w:tcW w:w="1564" w:type="dxa"/>
            <w:vAlign w:val="top"/>
          </w:tcPr>
          <w:p w14:paraId="1D8117F8">
            <w:pPr>
              <w:pStyle w:val="10"/>
              <w:spacing w:before="179" w:line="183" w:lineRule="auto"/>
              <w:ind w:left="612"/>
              <w:rPr>
                <w:sz w:val="24"/>
                <w:szCs w:val="24"/>
              </w:rPr>
            </w:pPr>
            <w:r>
              <w:rPr>
                <w:spacing w:val="-5"/>
                <w:sz w:val="24"/>
                <w:szCs w:val="24"/>
              </w:rPr>
              <w:t>500</w:t>
            </w:r>
          </w:p>
        </w:tc>
      </w:tr>
      <w:tr w14:paraId="3C335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7F9BB577">
            <w:pPr>
              <w:pStyle w:val="10"/>
              <w:spacing w:before="180" w:line="183" w:lineRule="auto"/>
              <w:ind w:left="306"/>
              <w:rPr>
                <w:sz w:val="24"/>
                <w:szCs w:val="24"/>
              </w:rPr>
            </w:pPr>
            <w:r>
              <w:rPr>
                <w:sz w:val="24"/>
                <w:szCs w:val="24"/>
              </w:rPr>
              <w:t>3</w:t>
            </w:r>
          </w:p>
        </w:tc>
        <w:tc>
          <w:tcPr>
            <w:tcW w:w="7225" w:type="dxa"/>
            <w:vAlign w:val="top"/>
          </w:tcPr>
          <w:p w14:paraId="62F22809">
            <w:pPr>
              <w:pStyle w:val="10"/>
              <w:spacing w:before="143" w:line="219" w:lineRule="auto"/>
              <w:ind w:left="124"/>
              <w:rPr>
                <w:sz w:val="24"/>
                <w:szCs w:val="24"/>
              </w:rPr>
            </w:pPr>
            <w:r>
              <w:rPr>
                <w:spacing w:val="-2"/>
                <w:sz w:val="24"/>
                <w:szCs w:val="24"/>
              </w:rPr>
              <w:t>穿拖鞋、高跟鞋等进入作业区</w:t>
            </w:r>
          </w:p>
        </w:tc>
        <w:tc>
          <w:tcPr>
            <w:tcW w:w="1564" w:type="dxa"/>
            <w:vAlign w:val="top"/>
          </w:tcPr>
          <w:p w14:paraId="70A38977">
            <w:pPr>
              <w:pStyle w:val="10"/>
              <w:spacing w:before="180" w:line="183" w:lineRule="auto"/>
              <w:ind w:left="610"/>
              <w:rPr>
                <w:sz w:val="24"/>
                <w:szCs w:val="24"/>
              </w:rPr>
            </w:pPr>
            <w:r>
              <w:rPr>
                <w:spacing w:val="-5"/>
                <w:sz w:val="24"/>
                <w:szCs w:val="24"/>
              </w:rPr>
              <w:t>200</w:t>
            </w:r>
          </w:p>
        </w:tc>
      </w:tr>
      <w:tr w14:paraId="68A47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7CD5D03E">
            <w:pPr>
              <w:pStyle w:val="10"/>
              <w:spacing w:before="179" w:line="183" w:lineRule="auto"/>
              <w:ind w:left="300"/>
              <w:rPr>
                <w:sz w:val="24"/>
                <w:szCs w:val="24"/>
              </w:rPr>
            </w:pPr>
            <w:r>
              <w:rPr>
                <w:sz w:val="24"/>
                <w:szCs w:val="24"/>
              </w:rPr>
              <w:t>4</w:t>
            </w:r>
          </w:p>
        </w:tc>
        <w:tc>
          <w:tcPr>
            <w:tcW w:w="7225" w:type="dxa"/>
            <w:vAlign w:val="top"/>
          </w:tcPr>
          <w:p w14:paraId="354815EC">
            <w:pPr>
              <w:pStyle w:val="10"/>
              <w:spacing w:before="140" w:line="219" w:lineRule="auto"/>
              <w:ind w:left="111"/>
              <w:rPr>
                <w:sz w:val="24"/>
                <w:szCs w:val="24"/>
              </w:rPr>
            </w:pPr>
            <w:r>
              <w:rPr>
                <w:spacing w:val="-1"/>
                <w:sz w:val="24"/>
                <w:szCs w:val="24"/>
              </w:rPr>
              <w:t>破坏或擅自拆除安全设施、机械安全防护装置</w:t>
            </w:r>
          </w:p>
        </w:tc>
        <w:tc>
          <w:tcPr>
            <w:tcW w:w="1564" w:type="dxa"/>
            <w:vAlign w:val="top"/>
          </w:tcPr>
          <w:p w14:paraId="5AD0A2CC">
            <w:pPr>
              <w:pStyle w:val="10"/>
              <w:spacing w:before="179" w:line="183" w:lineRule="auto"/>
              <w:ind w:left="612"/>
              <w:rPr>
                <w:sz w:val="24"/>
                <w:szCs w:val="24"/>
              </w:rPr>
            </w:pPr>
            <w:r>
              <w:rPr>
                <w:spacing w:val="-5"/>
                <w:sz w:val="24"/>
                <w:szCs w:val="24"/>
              </w:rPr>
              <w:t>500</w:t>
            </w:r>
          </w:p>
        </w:tc>
      </w:tr>
      <w:tr w14:paraId="1B65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3EC13097">
            <w:pPr>
              <w:pStyle w:val="10"/>
              <w:spacing w:before="181" w:line="182" w:lineRule="auto"/>
              <w:ind w:left="306"/>
              <w:rPr>
                <w:sz w:val="24"/>
                <w:szCs w:val="24"/>
              </w:rPr>
            </w:pPr>
            <w:r>
              <w:rPr>
                <w:sz w:val="24"/>
                <w:szCs w:val="24"/>
              </w:rPr>
              <w:t>5</w:t>
            </w:r>
          </w:p>
        </w:tc>
        <w:tc>
          <w:tcPr>
            <w:tcW w:w="7225" w:type="dxa"/>
            <w:vAlign w:val="top"/>
          </w:tcPr>
          <w:p w14:paraId="7CEA9649">
            <w:pPr>
              <w:pStyle w:val="10"/>
              <w:spacing w:before="142" w:line="219" w:lineRule="auto"/>
              <w:ind w:left="113"/>
              <w:rPr>
                <w:sz w:val="24"/>
                <w:szCs w:val="24"/>
              </w:rPr>
            </w:pPr>
            <w:r>
              <w:rPr>
                <w:spacing w:val="-1"/>
                <w:sz w:val="24"/>
                <w:szCs w:val="24"/>
              </w:rPr>
              <w:t>私接电线、使用不安全电器及其他违规用电行为</w:t>
            </w:r>
          </w:p>
        </w:tc>
        <w:tc>
          <w:tcPr>
            <w:tcW w:w="1564" w:type="dxa"/>
            <w:vAlign w:val="top"/>
          </w:tcPr>
          <w:p w14:paraId="3C7885CE">
            <w:pPr>
              <w:pStyle w:val="10"/>
              <w:spacing w:before="179" w:line="183" w:lineRule="auto"/>
              <w:ind w:left="612"/>
              <w:rPr>
                <w:sz w:val="24"/>
                <w:szCs w:val="24"/>
              </w:rPr>
            </w:pPr>
            <w:r>
              <w:rPr>
                <w:spacing w:val="-5"/>
                <w:sz w:val="24"/>
                <w:szCs w:val="24"/>
              </w:rPr>
              <w:t>500</w:t>
            </w:r>
          </w:p>
        </w:tc>
      </w:tr>
      <w:tr w14:paraId="5666D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068D83E9">
            <w:pPr>
              <w:pStyle w:val="10"/>
              <w:spacing w:before="180" w:line="183" w:lineRule="auto"/>
              <w:ind w:left="303"/>
              <w:rPr>
                <w:sz w:val="24"/>
                <w:szCs w:val="24"/>
              </w:rPr>
            </w:pPr>
            <w:r>
              <w:rPr>
                <w:sz w:val="24"/>
                <w:szCs w:val="24"/>
              </w:rPr>
              <w:t>6</w:t>
            </w:r>
          </w:p>
        </w:tc>
        <w:tc>
          <w:tcPr>
            <w:tcW w:w="7225" w:type="dxa"/>
            <w:vAlign w:val="top"/>
          </w:tcPr>
          <w:p w14:paraId="2F7EC12B">
            <w:pPr>
              <w:pStyle w:val="10"/>
              <w:spacing w:before="142" w:line="219" w:lineRule="auto"/>
              <w:ind w:left="116"/>
              <w:rPr>
                <w:sz w:val="24"/>
                <w:szCs w:val="24"/>
              </w:rPr>
            </w:pPr>
            <w:r>
              <w:rPr>
                <w:spacing w:val="-1"/>
                <w:sz w:val="24"/>
                <w:szCs w:val="24"/>
              </w:rPr>
              <w:t>非本岗位人员、无证人员操作机械设备或从事危险作业</w:t>
            </w:r>
          </w:p>
        </w:tc>
        <w:tc>
          <w:tcPr>
            <w:tcW w:w="1564" w:type="dxa"/>
            <w:vAlign w:val="top"/>
          </w:tcPr>
          <w:p w14:paraId="63E5A43F">
            <w:pPr>
              <w:pStyle w:val="10"/>
              <w:spacing w:before="180" w:line="183" w:lineRule="auto"/>
              <w:ind w:left="612"/>
              <w:rPr>
                <w:sz w:val="24"/>
                <w:szCs w:val="24"/>
              </w:rPr>
            </w:pPr>
            <w:r>
              <w:rPr>
                <w:spacing w:val="-5"/>
                <w:sz w:val="24"/>
                <w:szCs w:val="24"/>
              </w:rPr>
              <w:t>500</w:t>
            </w:r>
          </w:p>
        </w:tc>
      </w:tr>
      <w:tr w14:paraId="0534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13" w:type="dxa"/>
            <w:vAlign w:val="top"/>
          </w:tcPr>
          <w:p w14:paraId="1A9E6690">
            <w:pPr>
              <w:spacing w:line="252" w:lineRule="auto"/>
              <w:rPr>
                <w:rFonts w:ascii="Arial"/>
                <w:sz w:val="21"/>
              </w:rPr>
            </w:pPr>
          </w:p>
          <w:p w14:paraId="4F281E55">
            <w:pPr>
              <w:pStyle w:val="10"/>
              <w:spacing w:before="78" w:line="182" w:lineRule="auto"/>
              <w:ind w:left="307"/>
              <w:rPr>
                <w:sz w:val="24"/>
                <w:szCs w:val="24"/>
              </w:rPr>
            </w:pPr>
            <w:r>
              <w:rPr>
                <w:sz w:val="24"/>
                <w:szCs w:val="24"/>
              </w:rPr>
              <w:t>7</w:t>
            </w:r>
          </w:p>
        </w:tc>
        <w:tc>
          <w:tcPr>
            <w:tcW w:w="7225" w:type="dxa"/>
            <w:vAlign w:val="top"/>
          </w:tcPr>
          <w:p w14:paraId="4F6F8D65">
            <w:pPr>
              <w:pStyle w:val="10"/>
              <w:spacing w:before="140" w:line="225" w:lineRule="auto"/>
              <w:ind w:left="123" w:right="104" w:hanging="10"/>
              <w:rPr>
                <w:sz w:val="24"/>
                <w:szCs w:val="24"/>
              </w:rPr>
            </w:pPr>
            <w:r>
              <w:rPr>
                <w:spacing w:val="1"/>
                <w:sz w:val="24"/>
                <w:szCs w:val="24"/>
              </w:rPr>
              <w:t>有证人员违规操作、在过度疲劳的状态下操作机械设备，或在操作</w:t>
            </w:r>
            <w:r>
              <w:rPr>
                <w:spacing w:val="12"/>
                <w:sz w:val="24"/>
                <w:szCs w:val="24"/>
              </w:rPr>
              <w:t xml:space="preserve"> </w:t>
            </w:r>
            <w:r>
              <w:rPr>
                <w:spacing w:val="-2"/>
                <w:sz w:val="24"/>
                <w:szCs w:val="24"/>
              </w:rPr>
              <w:t>时看手机、看报、听收音机等未能专心操作</w:t>
            </w:r>
          </w:p>
        </w:tc>
        <w:tc>
          <w:tcPr>
            <w:tcW w:w="1564" w:type="dxa"/>
            <w:vAlign w:val="top"/>
          </w:tcPr>
          <w:p w14:paraId="52A91F21">
            <w:pPr>
              <w:spacing w:line="250" w:lineRule="auto"/>
              <w:rPr>
                <w:rFonts w:ascii="Arial"/>
                <w:sz w:val="21"/>
              </w:rPr>
            </w:pPr>
          </w:p>
          <w:p w14:paraId="33008D2D">
            <w:pPr>
              <w:pStyle w:val="10"/>
              <w:spacing w:before="78" w:line="183" w:lineRule="auto"/>
              <w:ind w:left="612"/>
              <w:rPr>
                <w:sz w:val="24"/>
                <w:szCs w:val="24"/>
              </w:rPr>
            </w:pPr>
            <w:r>
              <w:rPr>
                <w:spacing w:val="-5"/>
                <w:sz w:val="24"/>
                <w:szCs w:val="24"/>
              </w:rPr>
              <w:t>500</w:t>
            </w:r>
          </w:p>
        </w:tc>
      </w:tr>
      <w:tr w14:paraId="50515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0DE743BE">
            <w:pPr>
              <w:pStyle w:val="10"/>
              <w:spacing w:before="179" w:line="183" w:lineRule="auto"/>
              <w:ind w:left="302"/>
              <w:rPr>
                <w:sz w:val="24"/>
                <w:szCs w:val="24"/>
              </w:rPr>
            </w:pPr>
            <w:r>
              <w:rPr>
                <w:sz w:val="24"/>
                <w:szCs w:val="24"/>
              </w:rPr>
              <w:t>8</w:t>
            </w:r>
          </w:p>
        </w:tc>
        <w:tc>
          <w:tcPr>
            <w:tcW w:w="7225" w:type="dxa"/>
            <w:vAlign w:val="top"/>
          </w:tcPr>
          <w:p w14:paraId="54DC12CF">
            <w:pPr>
              <w:pStyle w:val="10"/>
              <w:spacing w:before="141" w:line="219" w:lineRule="auto"/>
              <w:ind w:left="111"/>
              <w:rPr>
                <w:sz w:val="24"/>
                <w:szCs w:val="24"/>
              </w:rPr>
            </w:pPr>
            <w:r>
              <w:rPr>
                <w:spacing w:val="-1"/>
                <w:sz w:val="24"/>
                <w:szCs w:val="24"/>
              </w:rPr>
              <w:t>机械设备停用后未断电源、或未以安全的方式或状态停止</w:t>
            </w:r>
          </w:p>
        </w:tc>
        <w:tc>
          <w:tcPr>
            <w:tcW w:w="1564" w:type="dxa"/>
            <w:vAlign w:val="top"/>
          </w:tcPr>
          <w:p w14:paraId="19BCF31A">
            <w:pPr>
              <w:pStyle w:val="10"/>
              <w:spacing w:before="178" w:line="184" w:lineRule="auto"/>
              <w:ind w:left="625"/>
              <w:rPr>
                <w:sz w:val="24"/>
                <w:szCs w:val="24"/>
              </w:rPr>
            </w:pPr>
            <w:r>
              <w:rPr>
                <w:spacing w:val="-10"/>
                <w:sz w:val="24"/>
                <w:szCs w:val="24"/>
              </w:rPr>
              <w:t>100</w:t>
            </w:r>
          </w:p>
        </w:tc>
      </w:tr>
      <w:tr w14:paraId="4B10E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13" w:type="dxa"/>
            <w:vAlign w:val="top"/>
          </w:tcPr>
          <w:p w14:paraId="20013741">
            <w:pPr>
              <w:pStyle w:val="10"/>
              <w:spacing w:before="298" w:line="183" w:lineRule="auto"/>
              <w:ind w:left="302"/>
              <w:rPr>
                <w:sz w:val="24"/>
                <w:szCs w:val="24"/>
              </w:rPr>
            </w:pPr>
            <w:r>
              <w:rPr>
                <w:sz w:val="24"/>
                <w:szCs w:val="24"/>
              </w:rPr>
              <w:t>9</w:t>
            </w:r>
          </w:p>
        </w:tc>
        <w:tc>
          <w:tcPr>
            <w:tcW w:w="7225" w:type="dxa"/>
            <w:vAlign w:val="top"/>
          </w:tcPr>
          <w:p w14:paraId="23A3F914">
            <w:pPr>
              <w:pStyle w:val="10"/>
              <w:spacing w:before="109" w:line="225" w:lineRule="auto"/>
              <w:ind w:left="139" w:right="104" w:hanging="26"/>
              <w:rPr>
                <w:sz w:val="24"/>
                <w:szCs w:val="24"/>
              </w:rPr>
            </w:pPr>
            <w:r>
              <w:rPr>
                <w:spacing w:val="1"/>
                <w:sz w:val="24"/>
                <w:szCs w:val="24"/>
              </w:rPr>
              <w:t>使用人员违规使用机械设备</w:t>
            </w:r>
          </w:p>
        </w:tc>
        <w:tc>
          <w:tcPr>
            <w:tcW w:w="1564" w:type="dxa"/>
            <w:vAlign w:val="top"/>
          </w:tcPr>
          <w:p w14:paraId="512B3806">
            <w:pPr>
              <w:pStyle w:val="10"/>
              <w:spacing w:before="297" w:line="184" w:lineRule="auto"/>
              <w:ind w:left="625"/>
              <w:rPr>
                <w:sz w:val="24"/>
                <w:szCs w:val="24"/>
              </w:rPr>
            </w:pPr>
            <w:r>
              <w:rPr>
                <w:spacing w:val="-10"/>
                <w:sz w:val="24"/>
                <w:szCs w:val="24"/>
              </w:rPr>
              <w:t>100</w:t>
            </w:r>
          </w:p>
        </w:tc>
      </w:tr>
      <w:tr w14:paraId="62C1B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6FD98CC9">
            <w:pPr>
              <w:pStyle w:val="10"/>
              <w:spacing w:before="180" w:line="184" w:lineRule="auto"/>
              <w:ind w:left="259"/>
              <w:rPr>
                <w:sz w:val="24"/>
                <w:szCs w:val="24"/>
              </w:rPr>
            </w:pPr>
            <w:r>
              <w:rPr>
                <w:spacing w:val="-14"/>
                <w:sz w:val="24"/>
                <w:szCs w:val="24"/>
              </w:rPr>
              <w:t>10</w:t>
            </w:r>
          </w:p>
        </w:tc>
        <w:tc>
          <w:tcPr>
            <w:tcW w:w="7225" w:type="dxa"/>
            <w:vAlign w:val="top"/>
          </w:tcPr>
          <w:p w14:paraId="06059FF8">
            <w:pPr>
              <w:pStyle w:val="10"/>
              <w:spacing w:before="143" w:line="218" w:lineRule="auto"/>
              <w:ind w:left="112"/>
              <w:rPr>
                <w:sz w:val="24"/>
                <w:szCs w:val="24"/>
              </w:rPr>
            </w:pPr>
            <w:r>
              <w:rPr>
                <w:spacing w:val="-1"/>
                <w:sz w:val="24"/>
                <w:szCs w:val="24"/>
              </w:rPr>
              <w:t>违规用火，或电焊、气焊作业时未采取防火防爆的安全措施</w:t>
            </w:r>
          </w:p>
        </w:tc>
        <w:tc>
          <w:tcPr>
            <w:tcW w:w="1564" w:type="dxa"/>
            <w:vAlign w:val="top"/>
          </w:tcPr>
          <w:p w14:paraId="6F4B451B">
            <w:pPr>
              <w:pStyle w:val="10"/>
              <w:spacing w:before="181" w:line="183" w:lineRule="auto"/>
              <w:ind w:left="612"/>
              <w:rPr>
                <w:sz w:val="24"/>
                <w:szCs w:val="24"/>
              </w:rPr>
            </w:pPr>
            <w:r>
              <w:rPr>
                <w:spacing w:val="-5"/>
                <w:sz w:val="24"/>
                <w:szCs w:val="24"/>
              </w:rPr>
              <w:t>500</w:t>
            </w:r>
          </w:p>
        </w:tc>
      </w:tr>
      <w:tr w14:paraId="76B89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4CF2A61C">
            <w:pPr>
              <w:pStyle w:val="10"/>
              <w:spacing w:before="180" w:line="184" w:lineRule="auto"/>
              <w:ind w:left="259"/>
              <w:rPr>
                <w:sz w:val="24"/>
                <w:szCs w:val="24"/>
              </w:rPr>
            </w:pPr>
            <w:r>
              <w:rPr>
                <w:spacing w:val="-14"/>
                <w:sz w:val="24"/>
                <w:szCs w:val="24"/>
              </w:rPr>
              <w:t>11</w:t>
            </w:r>
          </w:p>
        </w:tc>
        <w:tc>
          <w:tcPr>
            <w:tcW w:w="7225" w:type="dxa"/>
            <w:vAlign w:val="top"/>
          </w:tcPr>
          <w:p w14:paraId="26A75172">
            <w:pPr>
              <w:pStyle w:val="10"/>
              <w:spacing w:before="144" w:line="219" w:lineRule="auto"/>
              <w:ind w:left="118"/>
              <w:rPr>
                <w:sz w:val="24"/>
                <w:szCs w:val="24"/>
              </w:rPr>
            </w:pPr>
            <w:r>
              <w:rPr>
                <w:spacing w:val="-3"/>
                <w:sz w:val="24"/>
                <w:szCs w:val="24"/>
              </w:rPr>
              <w:t>高空抛洒物体</w:t>
            </w:r>
          </w:p>
        </w:tc>
        <w:tc>
          <w:tcPr>
            <w:tcW w:w="1564" w:type="dxa"/>
            <w:vAlign w:val="top"/>
          </w:tcPr>
          <w:p w14:paraId="10618721">
            <w:pPr>
              <w:pStyle w:val="10"/>
              <w:spacing w:before="182" w:line="183" w:lineRule="auto"/>
              <w:ind w:left="550"/>
              <w:rPr>
                <w:sz w:val="24"/>
                <w:szCs w:val="24"/>
              </w:rPr>
            </w:pPr>
            <w:r>
              <w:rPr>
                <w:spacing w:val="-4"/>
                <w:sz w:val="24"/>
                <w:szCs w:val="24"/>
              </w:rPr>
              <w:t>2000</w:t>
            </w:r>
          </w:p>
        </w:tc>
      </w:tr>
      <w:tr w14:paraId="48DFC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7D319EC4">
            <w:pPr>
              <w:pStyle w:val="10"/>
              <w:spacing w:before="179" w:line="184" w:lineRule="auto"/>
              <w:ind w:left="259"/>
              <w:rPr>
                <w:sz w:val="24"/>
                <w:szCs w:val="24"/>
              </w:rPr>
            </w:pPr>
            <w:r>
              <w:rPr>
                <w:spacing w:val="-14"/>
                <w:sz w:val="24"/>
                <w:szCs w:val="24"/>
              </w:rPr>
              <w:t>12</w:t>
            </w:r>
          </w:p>
        </w:tc>
        <w:tc>
          <w:tcPr>
            <w:tcW w:w="7225" w:type="dxa"/>
            <w:vAlign w:val="top"/>
          </w:tcPr>
          <w:p w14:paraId="7A72146C">
            <w:pPr>
              <w:pStyle w:val="10"/>
              <w:spacing w:before="142" w:line="220" w:lineRule="auto"/>
              <w:ind w:left="116"/>
              <w:rPr>
                <w:sz w:val="24"/>
                <w:szCs w:val="24"/>
              </w:rPr>
            </w:pPr>
            <w:r>
              <w:rPr>
                <w:spacing w:val="-3"/>
                <w:sz w:val="24"/>
                <w:szCs w:val="24"/>
              </w:rPr>
              <w:t>酒后进入作业区</w:t>
            </w:r>
          </w:p>
        </w:tc>
        <w:tc>
          <w:tcPr>
            <w:tcW w:w="1564" w:type="dxa"/>
            <w:vAlign w:val="top"/>
          </w:tcPr>
          <w:p w14:paraId="20CD0DC3">
            <w:pPr>
              <w:pStyle w:val="10"/>
              <w:spacing w:before="180" w:line="183" w:lineRule="auto"/>
              <w:ind w:left="610"/>
              <w:rPr>
                <w:sz w:val="24"/>
                <w:szCs w:val="24"/>
              </w:rPr>
            </w:pPr>
            <w:r>
              <w:rPr>
                <w:spacing w:val="-5"/>
                <w:sz w:val="24"/>
                <w:szCs w:val="24"/>
              </w:rPr>
              <w:t>200</w:t>
            </w:r>
          </w:p>
        </w:tc>
      </w:tr>
      <w:tr w14:paraId="44875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3337B58">
            <w:pPr>
              <w:pStyle w:val="10"/>
              <w:spacing w:before="180" w:line="184" w:lineRule="auto"/>
              <w:ind w:left="259"/>
              <w:rPr>
                <w:sz w:val="24"/>
                <w:szCs w:val="24"/>
              </w:rPr>
            </w:pPr>
            <w:r>
              <w:rPr>
                <w:spacing w:val="-14"/>
                <w:sz w:val="24"/>
                <w:szCs w:val="24"/>
              </w:rPr>
              <w:t>13</w:t>
            </w:r>
          </w:p>
        </w:tc>
        <w:tc>
          <w:tcPr>
            <w:tcW w:w="7225" w:type="dxa"/>
            <w:vAlign w:val="top"/>
          </w:tcPr>
          <w:p w14:paraId="1312D86A">
            <w:pPr>
              <w:pStyle w:val="10"/>
              <w:spacing w:before="142" w:line="219" w:lineRule="auto"/>
              <w:ind w:left="111"/>
              <w:rPr>
                <w:sz w:val="24"/>
                <w:szCs w:val="24"/>
              </w:rPr>
            </w:pPr>
            <w:r>
              <w:rPr>
                <w:spacing w:val="-1"/>
                <w:sz w:val="24"/>
                <w:szCs w:val="24"/>
              </w:rPr>
              <w:t>攀爬脚手架、井架，或在脚手架上睡觉、乘凉等危险行为</w:t>
            </w:r>
          </w:p>
        </w:tc>
        <w:tc>
          <w:tcPr>
            <w:tcW w:w="1564" w:type="dxa"/>
            <w:vAlign w:val="top"/>
          </w:tcPr>
          <w:p w14:paraId="7CFF4F55">
            <w:pPr>
              <w:pStyle w:val="10"/>
              <w:spacing w:before="180" w:line="184" w:lineRule="auto"/>
              <w:ind w:left="625"/>
              <w:rPr>
                <w:sz w:val="24"/>
                <w:szCs w:val="24"/>
              </w:rPr>
            </w:pPr>
            <w:r>
              <w:rPr>
                <w:spacing w:val="-10"/>
                <w:sz w:val="24"/>
                <w:szCs w:val="24"/>
              </w:rPr>
              <w:t>100</w:t>
            </w:r>
          </w:p>
        </w:tc>
      </w:tr>
      <w:tr w14:paraId="7885D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4E1BB3E8">
            <w:pPr>
              <w:pStyle w:val="10"/>
              <w:spacing w:before="180" w:line="184" w:lineRule="auto"/>
              <w:ind w:left="259"/>
              <w:rPr>
                <w:sz w:val="24"/>
                <w:szCs w:val="24"/>
              </w:rPr>
            </w:pPr>
            <w:r>
              <w:rPr>
                <w:spacing w:val="-14"/>
                <w:sz w:val="24"/>
                <w:szCs w:val="24"/>
              </w:rPr>
              <w:t>14</w:t>
            </w:r>
          </w:p>
        </w:tc>
        <w:tc>
          <w:tcPr>
            <w:tcW w:w="7225" w:type="dxa"/>
            <w:vAlign w:val="top"/>
          </w:tcPr>
          <w:p w14:paraId="16A71C57">
            <w:pPr>
              <w:pStyle w:val="10"/>
              <w:spacing w:before="144" w:line="219" w:lineRule="auto"/>
              <w:ind w:left="113"/>
              <w:rPr>
                <w:sz w:val="24"/>
                <w:szCs w:val="24"/>
              </w:rPr>
            </w:pPr>
            <w:r>
              <w:rPr>
                <w:spacing w:val="-2"/>
                <w:sz w:val="24"/>
                <w:szCs w:val="24"/>
              </w:rPr>
              <w:t>作业时嬉闹、寻衅闹事</w:t>
            </w:r>
          </w:p>
        </w:tc>
        <w:tc>
          <w:tcPr>
            <w:tcW w:w="1564" w:type="dxa"/>
            <w:vAlign w:val="top"/>
          </w:tcPr>
          <w:p w14:paraId="7F95827E">
            <w:pPr>
              <w:pStyle w:val="10"/>
              <w:spacing w:before="180" w:line="184" w:lineRule="auto"/>
              <w:ind w:left="625"/>
              <w:rPr>
                <w:sz w:val="24"/>
                <w:szCs w:val="24"/>
              </w:rPr>
            </w:pPr>
            <w:r>
              <w:rPr>
                <w:spacing w:val="-10"/>
                <w:sz w:val="24"/>
                <w:szCs w:val="24"/>
              </w:rPr>
              <w:t>100</w:t>
            </w:r>
          </w:p>
        </w:tc>
      </w:tr>
      <w:tr w14:paraId="56232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5E843D8">
            <w:pPr>
              <w:pStyle w:val="10"/>
              <w:spacing w:before="179" w:line="184" w:lineRule="auto"/>
              <w:ind w:left="259"/>
              <w:rPr>
                <w:sz w:val="24"/>
                <w:szCs w:val="24"/>
              </w:rPr>
            </w:pPr>
            <w:r>
              <w:rPr>
                <w:spacing w:val="-14"/>
                <w:sz w:val="24"/>
                <w:szCs w:val="24"/>
              </w:rPr>
              <w:t>15</w:t>
            </w:r>
          </w:p>
        </w:tc>
        <w:tc>
          <w:tcPr>
            <w:tcW w:w="7225" w:type="dxa"/>
            <w:vAlign w:val="top"/>
          </w:tcPr>
          <w:p w14:paraId="293B27EB">
            <w:pPr>
              <w:pStyle w:val="10"/>
              <w:spacing w:before="142" w:line="219" w:lineRule="auto"/>
              <w:ind w:left="113"/>
              <w:rPr>
                <w:sz w:val="24"/>
                <w:szCs w:val="24"/>
              </w:rPr>
            </w:pPr>
            <w:r>
              <w:rPr>
                <w:spacing w:val="-1"/>
                <w:sz w:val="24"/>
                <w:szCs w:val="24"/>
              </w:rPr>
              <w:t>使用未成年工、精神障碍人员及其他不适合的人员从事施工作业</w:t>
            </w:r>
          </w:p>
        </w:tc>
        <w:tc>
          <w:tcPr>
            <w:tcW w:w="1564" w:type="dxa"/>
            <w:vAlign w:val="top"/>
          </w:tcPr>
          <w:p w14:paraId="097CB06D">
            <w:pPr>
              <w:pStyle w:val="10"/>
              <w:spacing w:before="180" w:line="183" w:lineRule="auto"/>
              <w:ind w:left="610"/>
              <w:rPr>
                <w:sz w:val="24"/>
                <w:szCs w:val="24"/>
              </w:rPr>
            </w:pPr>
            <w:r>
              <w:rPr>
                <w:spacing w:val="-5"/>
                <w:sz w:val="24"/>
                <w:szCs w:val="24"/>
              </w:rPr>
              <w:t>200</w:t>
            </w:r>
          </w:p>
        </w:tc>
      </w:tr>
      <w:tr w14:paraId="26717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70FAB7B5">
            <w:pPr>
              <w:pStyle w:val="10"/>
              <w:spacing w:before="180" w:line="184" w:lineRule="auto"/>
              <w:ind w:left="259"/>
              <w:rPr>
                <w:sz w:val="24"/>
                <w:szCs w:val="24"/>
              </w:rPr>
            </w:pPr>
            <w:r>
              <w:rPr>
                <w:spacing w:val="-14"/>
                <w:sz w:val="24"/>
                <w:szCs w:val="24"/>
              </w:rPr>
              <w:t>16</w:t>
            </w:r>
          </w:p>
        </w:tc>
        <w:tc>
          <w:tcPr>
            <w:tcW w:w="7225" w:type="dxa"/>
            <w:vAlign w:val="top"/>
          </w:tcPr>
          <w:p w14:paraId="3F55215D">
            <w:pPr>
              <w:pStyle w:val="10"/>
              <w:spacing w:before="143" w:line="219" w:lineRule="auto"/>
              <w:ind w:left="118"/>
              <w:rPr>
                <w:sz w:val="24"/>
                <w:szCs w:val="24"/>
              </w:rPr>
            </w:pPr>
            <w:r>
              <w:rPr>
                <w:spacing w:val="-2"/>
                <w:sz w:val="24"/>
                <w:szCs w:val="24"/>
              </w:rPr>
              <w:t>带小孩进入施工现场</w:t>
            </w:r>
          </w:p>
        </w:tc>
        <w:tc>
          <w:tcPr>
            <w:tcW w:w="1564" w:type="dxa"/>
            <w:vAlign w:val="top"/>
          </w:tcPr>
          <w:p w14:paraId="1DC01517">
            <w:pPr>
              <w:pStyle w:val="10"/>
              <w:spacing w:before="181" w:line="183" w:lineRule="auto"/>
              <w:ind w:left="610"/>
              <w:rPr>
                <w:sz w:val="24"/>
                <w:szCs w:val="24"/>
              </w:rPr>
            </w:pPr>
            <w:r>
              <w:rPr>
                <w:spacing w:val="-5"/>
                <w:sz w:val="24"/>
                <w:szCs w:val="24"/>
              </w:rPr>
              <w:t>200</w:t>
            </w:r>
          </w:p>
        </w:tc>
      </w:tr>
      <w:tr w14:paraId="4CD4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7DBD85C">
            <w:pPr>
              <w:pStyle w:val="10"/>
              <w:spacing w:before="180" w:line="184" w:lineRule="auto"/>
              <w:ind w:left="259"/>
              <w:rPr>
                <w:sz w:val="24"/>
                <w:szCs w:val="24"/>
              </w:rPr>
            </w:pPr>
            <w:r>
              <w:rPr>
                <w:spacing w:val="-14"/>
                <w:sz w:val="24"/>
                <w:szCs w:val="24"/>
              </w:rPr>
              <w:t>17</w:t>
            </w:r>
          </w:p>
        </w:tc>
        <w:tc>
          <w:tcPr>
            <w:tcW w:w="7225" w:type="dxa"/>
            <w:vAlign w:val="top"/>
          </w:tcPr>
          <w:p w14:paraId="0BAC456E">
            <w:pPr>
              <w:pStyle w:val="10"/>
              <w:spacing w:before="144" w:line="219" w:lineRule="auto"/>
              <w:ind w:left="116"/>
              <w:rPr>
                <w:sz w:val="24"/>
                <w:szCs w:val="24"/>
              </w:rPr>
            </w:pPr>
            <w:r>
              <w:rPr>
                <w:spacing w:val="-1"/>
                <w:sz w:val="24"/>
                <w:szCs w:val="24"/>
              </w:rPr>
              <w:t>不按要求参加总承包单位组织的安全教育、安全技术交底活动；</w:t>
            </w:r>
          </w:p>
        </w:tc>
        <w:tc>
          <w:tcPr>
            <w:tcW w:w="1564" w:type="dxa"/>
            <w:vAlign w:val="top"/>
          </w:tcPr>
          <w:p w14:paraId="17E34C91">
            <w:pPr>
              <w:pStyle w:val="10"/>
              <w:spacing w:before="180" w:line="184" w:lineRule="auto"/>
              <w:ind w:left="625"/>
              <w:rPr>
                <w:sz w:val="24"/>
                <w:szCs w:val="24"/>
              </w:rPr>
            </w:pPr>
            <w:r>
              <w:rPr>
                <w:spacing w:val="-10"/>
                <w:sz w:val="24"/>
                <w:szCs w:val="24"/>
              </w:rPr>
              <w:t>100</w:t>
            </w:r>
          </w:p>
        </w:tc>
      </w:tr>
      <w:tr w14:paraId="0148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3" w:type="dxa"/>
            <w:vAlign w:val="top"/>
          </w:tcPr>
          <w:p w14:paraId="66EB2716">
            <w:pPr>
              <w:pStyle w:val="10"/>
              <w:spacing w:before="224" w:line="184" w:lineRule="auto"/>
              <w:ind w:left="259"/>
              <w:rPr>
                <w:sz w:val="24"/>
                <w:szCs w:val="24"/>
              </w:rPr>
            </w:pPr>
            <w:r>
              <w:rPr>
                <w:spacing w:val="-14"/>
                <w:sz w:val="24"/>
                <w:szCs w:val="24"/>
              </w:rPr>
              <w:t>18</w:t>
            </w:r>
          </w:p>
        </w:tc>
        <w:tc>
          <w:tcPr>
            <w:tcW w:w="7225" w:type="dxa"/>
            <w:vAlign w:val="top"/>
          </w:tcPr>
          <w:p w14:paraId="4919D67F">
            <w:pPr>
              <w:pStyle w:val="10"/>
              <w:spacing w:before="40" w:line="213" w:lineRule="auto"/>
              <w:ind w:left="113" w:right="104" w:hanging="2"/>
              <w:rPr>
                <w:sz w:val="24"/>
                <w:szCs w:val="24"/>
              </w:rPr>
            </w:pPr>
            <w:r>
              <w:rPr>
                <w:spacing w:val="1"/>
                <w:sz w:val="24"/>
                <w:szCs w:val="24"/>
              </w:rPr>
              <w:t>对总承包单位指出的安全隐患拒不整改；紧急状况下不服从总承包</w:t>
            </w:r>
            <w:r>
              <w:rPr>
                <w:spacing w:val="14"/>
                <w:sz w:val="24"/>
                <w:szCs w:val="24"/>
              </w:rPr>
              <w:t xml:space="preserve"> </w:t>
            </w:r>
            <w:r>
              <w:rPr>
                <w:spacing w:val="-2"/>
                <w:sz w:val="24"/>
                <w:szCs w:val="24"/>
              </w:rPr>
              <w:t>单位、监理单位的指挥</w:t>
            </w:r>
          </w:p>
        </w:tc>
        <w:tc>
          <w:tcPr>
            <w:tcW w:w="1564" w:type="dxa"/>
            <w:vAlign w:val="top"/>
          </w:tcPr>
          <w:p w14:paraId="0688239A">
            <w:pPr>
              <w:pStyle w:val="10"/>
              <w:spacing w:before="226" w:line="183" w:lineRule="auto"/>
              <w:ind w:left="612"/>
              <w:rPr>
                <w:sz w:val="24"/>
                <w:szCs w:val="24"/>
              </w:rPr>
            </w:pPr>
            <w:r>
              <w:rPr>
                <w:spacing w:val="-5"/>
                <w:sz w:val="24"/>
                <w:szCs w:val="24"/>
              </w:rPr>
              <w:t>500</w:t>
            </w:r>
          </w:p>
        </w:tc>
      </w:tr>
      <w:tr w14:paraId="42315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13" w:type="dxa"/>
            <w:vAlign w:val="top"/>
          </w:tcPr>
          <w:p w14:paraId="339A923D">
            <w:pPr>
              <w:pStyle w:val="10"/>
              <w:spacing w:before="182" w:line="184" w:lineRule="auto"/>
              <w:ind w:left="259"/>
              <w:rPr>
                <w:sz w:val="24"/>
                <w:szCs w:val="24"/>
              </w:rPr>
            </w:pPr>
            <w:r>
              <w:rPr>
                <w:spacing w:val="-14"/>
                <w:sz w:val="24"/>
                <w:szCs w:val="24"/>
              </w:rPr>
              <w:t>19</w:t>
            </w:r>
          </w:p>
        </w:tc>
        <w:tc>
          <w:tcPr>
            <w:tcW w:w="7225" w:type="dxa"/>
            <w:vAlign w:val="top"/>
          </w:tcPr>
          <w:p w14:paraId="14AD9D2A">
            <w:pPr>
              <w:pStyle w:val="10"/>
              <w:spacing w:before="146" w:line="219" w:lineRule="auto"/>
              <w:ind w:left="113"/>
              <w:rPr>
                <w:sz w:val="24"/>
                <w:szCs w:val="24"/>
              </w:rPr>
            </w:pPr>
            <w:r>
              <w:rPr>
                <w:spacing w:val="-1"/>
                <w:sz w:val="24"/>
                <w:szCs w:val="24"/>
              </w:rPr>
              <w:t>其他不符合安全要求的行为、状态</w:t>
            </w:r>
          </w:p>
        </w:tc>
        <w:tc>
          <w:tcPr>
            <w:tcW w:w="1564" w:type="dxa"/>
            <w:vAlign w:val="top"/>
          </w:tcPr>
          <w:p w14:paraId="0461A772">
            <w:pPr>
              <w:pStyle w:val="10"/>
              <w:spacing w:before="145"/>
              <w:ind w:left="372"/>
              <w:rPr>
                <w:sz w:val="24"/>
                <w:szCs w:val="24"/>
              </w:rPr>
            </w:pPr>
            <w:r>
              <w:rPr>
                <w:spacing w:val="-3"/>
                <w:sz w:val="24"/>
                <w:szCs w:val="24"/>
              </w:rPr>
              <w:t>50～200</w:t>
            </w:r>
          </w:p>
        </w:tc>
      </w:tr>
    </w:tbl>
    <w:p w14:paraId="7397E612">
      <w:pPr>
        <w:pStyle w:val="6"/>
      </w:pPr>
    </w:p>
    <w:p w14:paraId="35C76E45">
      <w:pPr>
        <w:sectPr>
          <w:footerReference r:id="rId11" w:type="default"/>
          <w:pgSz w:w="11906" w:h="16839"/>
          <w:pgMar w:top="1431" w:right="1143" w:bottom="1362" w:left="1255" w:header="0" w:footer="1200" w:gutter="0"/>
          <w:cols w:space="720" w:num="1"/>
        </w:sectPr>
      </w:pPr>
    </w:p>
    <w:p w14:paraId="51FA64BA">
      <w:pPr>
        <w:spacing w:before="97" w:line="219" w:lineRule="auto"/>
        <w:ind w:left="2774"/>
        <w:rPr>
          <w:rFonts w:ascii="宋体" w:hAnsi="宋体" w:eastAsia="宋体" w:cs="宋体"/>
          <w:sz w:val="30"/>
          <w:szCs w:val="30"/>
        </w:rPr>
      </w:pPr>
      <w:r>
        <w:rPr>
          <w:rFonts w:ascii="宋体" w:hAnsi="宋体" w:eastAsia="宋体" w:cs="宋体"/>
          <w:b/>
          <w:bCs/>
          <w:spacing w:val="-4"/>
          <w:sz w:val="30"/>
          <w:szCs w:val="30"/>
        </w:rPr>
        <w:t>现场管理罚款标准明细表（2）</w:t>
      </w:r>
    </w:p>
    <w:p w14:paraId="0C2FF3E2">
      <w:pPr>
        <w:spacing w:before="124" w:line="217" w:lineRule="auto"/>
        <w:ind w:left="4049"/>
        <w:rPr>
          <w:rFonts w:ascii="宋体" w:hAnsi="宋体" w:eastAsia="宋体" w:cs="宋体"/>
          <w:sz w:val="30"/>
          <w:szCs w:val="30"/>
        </w:rPr>
      </w:pPr>
      <w:r>
        <w:rPr>
          <w:rFonts w:ascii="宋体" w:hAnsi="宋体" w:eastAsia="宋体" w:cs="宋体"/>
          <w:b/>
          <w:bCs/>
          <w:spacing w:val="-5"/>
          <w:sz w:val="30"/>
          <w:szCs w:val="30"/>
        </w:rPr>
        <w:t>—其他方面</w:t>
      </w:r>
    </w:p>
    <w:tbl>
      <w:tblPr>
        <w:tblStyle w:val="9"/>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058"/>
        <w:gridCol w:w="1715"/>
      </w:tblGrid>
      <w:tr w14:paraId="2CB7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07" w:type="dxa"/>
            <w:vAlign w:val="top"/>
          </w:tcPr>
          <w:p w14:paraId="27698C9E">
            <w:pPr>
              <w:spacing w:line="249" w:lineRule="auto"/>
              <w:rPr>
                <w:rFonts w:ascii="Arial"/>
                <w:sz w:val="21"/>
              </w:rPr>
            </w:pPr>
          </w:p>
          <w:p w14:paraId="757578D9">
            <w:pPr>
              <w:pStyle w:val="10"/>
              <w:spacing w:before="78" w:line="221" w:lineRule="auto"/>
              <w:ind w:left="169"/>
              <w:rPr>
                <w:sz w:val="24"/>
                <w:szCs w:val="24"/>
              </w:rPr>
            </w:pPr>
            <w:r>
              <w:rPr>
                <w:spacing w:val="-5"/>
                <w:sz w:val="24"/>
                <w:szCs w:val="24"/>
              </w:rPr>
              <w:t>序号</w:t>
            </w:r>
          </w:p>
        </w:tc>
        <w:tc>
          <w:tcPr>
            <w:tcW w:w="7058" w:type="dxa"/>
            <w:vAlign w:val="top"/>
          </w:tcPr>
          <w:p w14:paraId="6D365C03">
            <w:pPr>
              <w:spacing w:line="250" w:lineRule="auto"/>
              <w:rPr>
                <w:rFonts w:ascii="Arial"/>
                <w:sz w:val="21"/>
              </w:rPr>
            </w:pPr>
          </w:p>
          <w:p w14:paraId="232F91A8">
            <w:pPr>
              <w:pStyle w:val="10"/>
              <w:spacing w:before="78" w:line="219" w:lineRule="auto"/>
              <w:ind w:left="2581"/>
              <w:rPr>
                <w:sz w:val="24"/>
                <w:szCs w:val="24"/>
              </w:rPr>
            </w:pPr>
            <w:r>
              <w:rPr>
                <w:spacing w:val="-2"/>
                <w:sz w:val="24"/>
                <w:szCs w:val="24"/>
              </w:rPr>
              <w:t>受处罚行为或状态</w:t>
            </w:r>
          </w:p>
        </w:tc>
        <w:tc>
          <w:tcPr>
            <w:tcW w:w="1715" w:type="dxa"/>
            <w:vAlign w:val="top"/>
          </w:tcPr>
          <w:p w14:paraId="0D6C5832">
            <w:pPr>
              <w:pStyle w:val="10"/>
              <w:spacing w:before="178" w:line="225" w:lineRule="auto"/>
              <w:ind w:left="215" w:right="216" w:firstLine="178"/>
              <w:rPr>
                <w:sz w:val="24"/>
                <w:szCs w:val="24"/>
              </w:rPr>
            </w:pPr>
            <w:r>
              <w:rPr>
                <w:spacing w:val="-5"/>
                <w:sz w:val="24"/>
                <w:szCs w:val="24"/>
              </w:rPr>
              <w:t>罚款金额</w:t>
            </w:r>
            <w:r>
              <w:rPr>
                <w:sz w:val="24"/>
                <w:szCs w:val="24"/>
              </w:rPr>
              <w:t xml:space="preserve">  </w:t>
            </w:r>
            <w:r>
              <w:rPr>
                <w:spacing w:val="-7"/>
                <w:sz w:val="24"/>
                <w:szCs w:val="24"/>
              </w:rPr>
              <w:t>（元/人次）</w:t>
            </w:r>
          </w:p>
        </w:tc>
      </w:tr>
      <w:tr w14:paraId="2F20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7" w:type="dxa"/>
            <w:vAlign w:val="top"/>
          </w:tcPr>
          <w:p w14:paraId="73066C38">
            <w:pPr>
              <w:rPr>
                <w:rFonts w:ascii="Arial"/>
                <w:sz w:val="21"/>
              </w:rPr>
            </w:pPr>
          </w:p>
          <w:p w14:paraId="295DF970">
            <w:pPr>
              <w:pStyle w:val="10"/>
              <w:spacing w:before="78" w:line="184" w:lineRule="auto"/>
              <w:ind w:left="368"/>
              <w:rPr>
                <w:sz w:val="24"/>
                <w:szCs w:val="24"/>
              </w:rPr>
            </w:pPr>
            <w:r>
              <w:rPr>
                <w:sz w:val="24"/>
                <w:szCs w:val="24"/>
              </w:rPr>
              <w:t>1</w:t>
            </w:r>
          </w:p>
        </w:tc>
        <w:tc>
          <w:tcPr>
            <w:tcW w:w="7058" w:type="dxa"/>
            <w:vAlign w:val="top"/>
          </w:tcPr>
          <w:p w14:paraId="21B15FAC">
            <w:pPr>
              <w:pStyle w:val="10"/>
              <w:spacing w:before="284" w:line="219" w:lineRule="auto"/>
              <w:ind w:left="113"/>
              <w:rPr>
                <w:sz w:val="24"/>
                <w:szCs w:val="24"/>
              </w:rPr>
            </w:pPr>
            <w:r>
              <w:rPr>
                <w:spacing w:val="-1"/>
                <w:sz w:val="24"/>
                <w:szCs w:val="24"/>
              </w:rPr>
              <w:t>偷盗、故意毁坏现场财产</w:t>
            </w:r>
          </w:p>
        </w:tc>
        <w:tc>
          <w:tcPr>
            <w:tcW w:w="1715" w:type="dxa"/>
            <w:vAlign w:val="top"/>
          </w:tcPr>
          <w:p w14:paraId="4378E5AF">
            <w:pPr>
              <w:spacing w:line="242" w:lineRule="auto"/>
              <w:rPr>
                <w:rFonts w:ascii="Arial"/>
                <w:sz w:val="21"/>
              </w:rPr>
            </w:pPr>
          </w:p>
          <w:p w14:paraId="278CC0F5">
            <w:pPr>
              <w:pStyle w:val="10"/>
              <w:spacing w:before="78" w:line="183" w:lineRule="auto"/>
              <w:ind w:left="688"/>
              <w:rPr>
                <w:sz w:val="24"/>
                <w:szCs w:val="24"/>
              </w:rPr>
            </w:pPr>
            <w:r>
              <w:rPr>
                <w:spacing w:val="-5"/>
                <w:sz w:val="24"/>
                <w:szCs w:val="24"/>
              </w:rPr>
              <w:t>500</w:t>
            </w:r>
          </w:p>
        </w:tc>
      </w:tr>
      <w:tr w14:paraId="2F03E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3E7D271D">
            <w:pPr>
              <w:spacing w:line="242" w:lineRule="auto"/>
              <w:rPr>
                <w:rFonts w:ascii="Arial"/>
                <w:sz w:val="21"/>
              </w:rPr>
            </w:pPr>
          </w:p>
          <w:p w14:paraId="027EB503">
            <w:pPr>
              <w:pStyle w:val="10"/>
              <w:spacing w:before="78" w:line="183" w:lineRule="auto"/>
              <w:ind w:left="353"/>
              <w:rPr>
                <w:sz w:val="24"/>
                <w:szCs w:val="24"/>
              </w:rPr>
            </w:pPr>
            <w:r>
              <w:rPr>
                <w:sz w:val="24"/>
                <w:szCs w:val="24"/>
              </w:rPr>
              <w:t>2</w:t>
            </w:r>
          </w:p>
        </w:tc>
        <w:tc>
          <w:tcPr>
            <w:tcW w:w="7058" w:type="dxa"/>
            <w:vAlign w:val="top"/>
          </w:tcPr>
          <w:p w14:paraId="0F77FADD">
            <w:pPr>
              <w:pStyle w:val="10"/>
              <w:spacing w:before="284" w:line="219" w:lineRule="auto"/>
              <w:ind w:left="112"/>
              <w:rPr>
                <w:sz w:val="24"/>
                <w:szCs w:val="24"/>
              </w:rPr>
            </w:pPr>
            <w:r>
              <w:rPr>
                <w:spacing w:val="-1"/>
                <w:sz w:val="24"/>
                <w:szCs w:val="24"/>
              </w:rPr>
              <w:t>每次作业结束后未工完场清</w:t>
            </w:r>
          </w:p>
        </w:tc>
        <w:tc>
          <w:tcPr>
            <w:tcW w:w="1715" w:type="dxa"/>
            <w:vAlign w:val="top"/>
          </w:tcPr>
          <w:p w14:paraId="2CD8D681">
            <w:pPr>
              <w:rPr>
                <w:rFonts w:ascii="Arial"/>
                <w:sz w:val="21"/>
              </w:rPr>
            </w:pPr>
          </w:p>
          <w:p w14:paraId="3D2DE8DC">
            <w:pPr>
              <w:pStyle w:val="10"/>
              <w:spacing w:before="78" w:line="184" w:lineRule="auto"/>
              <w:ind w:left="701"/>
              <w:rPr>
                <w:sz w:val="24"/>
                <w:szCs w:val="24"/>
              </w:rPr>
            </w:pPr>
            <w:r>
              <w:rPr>
                <w:spacing w:val="-10"/>
                <w:sz w:val="24"/>
                <w:szCs w:val="24"/>
              </w:rPr>
              <w:t>100</w:t>
            </w:r>
          </w:p>
        </w:tc>
      </w:tr>
      <w:tr w14:paraId="18739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60254A24">
            <w:pPr>
              <w:spacing w:line="243" w:lineRule="auto"/>
              <w:rPr>
                <w:rFonts w:ascii="Arial"/>
                <w:sz w:val="21"/>
              </w:rPr>
            </w:pPr>
          </w:p>
          <w:p w14:paraId="44DCBD4F">
            <w:pPr>
              <w:pStyle w:val="10"/>
              <w:spacing w:before="78" w:line="183" w:lineRule="auto"/>
              <w:ind w:left="355"/>
              <w:rPr>
                <w:sz w:val="24"/>
                <w:szCs w:val="24"/>
              </w:rPr>
            </w:pPr>
            <w:r>
              <w:rPr>
                <w:sz w:val="24"/>
                <w:szCs w:val="24"/>
              </w:rPr>
              <w:t>3</w:t>
            </w:r>
          </w:p>
        </w:tc>
        <w:tc>
          <w:tcPr>
            <w:tcW w:w="7058" w:type="dxa"/>
            <w:vAlign w:val="top"/>
          </w:tcPr>
          <w:p w14:paraId="3C9299A8">
            <w:pPr>
              <w:pStyle w:val="10"/>
              <w:spacing w:before="284" w:line="219" w:lineRule="auto"/>
              <w:ind w:left="116"/>
              <w:rPr>
                <w:sz w:val="24"/>
                <w:szCs w:val="24"/>
              </w:rPr>
            </w:pPr>
            <w:r>
              <w:rPr>
                <w:spacing w:val="-1"/>
                <w:sz w:val="24"/>
                <w:szCs w:val="24"/>
              </w:rPr>
              <w:t>浪费总承包单位提供的材料、机具、低值易耗品等</w:t>
            </w:r>
          </w:p>
        </w:tc>
        <w:tc>
          <w:tcPr>
            <w:tcW w:w="1715" w:type="dxa"/>
            <w:vAlign w:val="top"/>
          </w:tcPr>
          <w:p w14:paraId="4E48AD30">
            <w:pPr>
              <w:spacing w:line="241" w:lineRule="auto"/>
              <w:rPr>
                <w:rFonts w:ascii="Arial"/>
                <w:sz w:val="21"/>
              </w:rPr>
            </w:pPr>
          </w:p>
          <w:p w14:paraId="3F30C871">
            <w:pPr>
              <w:pStyle w:val="10"/>
              <w:spacing w:before="78" w:line="184" w:lineRule="auto"/>
              <w:ind w:left="701"/>
              <w:rPr>
                <w:sz w:val="24"/>
                <w:szCs w:val="24"/>
              </w:rPr>
            </w:pPr>
            <w:r>
              <w:rPr>
                <w:spacing w:val="-10"/>
                <w:sz w:val="24"/>
                <w:szCs w:val="24"/>
              </w:rPr>
              <w:t>100</w:t>
            </w:r>
          </w:p>
        </w:tc>
      </w:tr>
      <w:tr w14:paraId="209DC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09387D49">
            <w:pPr>
              <w:spacing w:line="244" w:lineRule="auto"/>
              <w:rPr>
                <w:rFonts w:ascii="Arial"/>
                <w:sz w:val="21"/>
              </w:rPr>
            </w:pPr>
          </w:p>
          <w:p w14:paraId="59E08A2A">
            <w:pPr>
              <w:pStyle w:val="10"/>
              <w:spacing w:before="78" w:line="183" w:lineRule="auto"/>
              <w:ind w:left="349"/>
              <w:rPr>
                <w:sz w:val="24"/>
                <w:szCs w:val="24"/>
              </w:rPr>
            </w:pPr>
            <w:r>
              <w:rPr>
                <w:sz w:val="24"/>
                <w:szCs w:val="24"/>
              </w:rPr>
              <w:t>4</w:t>
            </w:r>
          </w:p>
        </w:tc>
        <w:tc>
          <w:tcPr>
            <w:tcW w:w="7058" w:type="dxa"/>
            <w:vAlign w:val="top"/>
          </w:tcPr>
          <w:p w14:paraId="7B48EFDE">
            <w:pPr>
              <w:pStyle w:val="10"/>
              <w:spacing w:before="134" w:line="225" w:lineRule="auto"/>
              <w:ind w:left="112" w:right="102" w:firstLine="3"/>
              <w:rPr>
                <w:sz w:val="24"/>
                <w:szCs w:val="24"/>
              </w:rPr>
            </w:pPr>
            <w:r>
              <w:rPr>
                <w:spacing w:val="-5"/>
                <w:sz w:val="24"/>
                <w:szCs w:val="24"/>
              </w:rPr>
              <w:t>不配合总承包单位、监理单位、建设单位、政府部门、检测验收单</w:t>
            </w:r>
            <w:r>
              <w:rPr>
                <w:spacing w:val="17"/>
                <w:sz w:val="24"/>
                <w:szCs w:val="24"/>
              </w:rPr>
              <w:t xml:space="preserve"> </w:t>
            </w:r>
            <w:r>
              <w:rPr>
                <w:spacing w:val="-1"/>
                <w:sz w:val="24"/>
                <w:szCs w:val="24"/>
              </w:rPr>
              <w:t>位现场检查、检测工作的行为</w:t>
            </w:r>
          </w:p>
        </w:tc>
        <w:tc>
          <w:tcPr>
            <w:tcW w:w="1715" w:type="dxa"/>
            <w:vAlign w:val="top"/>
          </w:tcPr>
          <w:p w14:paraId="6AC1A0EE">
            <w:pPr>
              <w:spacing w:line="244" w:lineRule="auto"/>
              <w:rPr>
                <w:rFonts w:ascii="Arial"/>
                <w:sz w:val="21"/>
              </w:rPr>
            </w:pPr>
          </w:p>
          <w:p w14:paraId="35823321">
            <w:pPr>
              <w:pStyle w:val="10"/>
              <w:spacing w:before="78" w:line="183" w:lineRule="auto"/>
              <w:ind w:left="688"/>
              <w:rPr>
                <w:sz w:val="24"/>
                <w:szCs w:val="24"/>
              </w:rPr>
            </w:pPr>
            <w:r>
              <w:rPr>
                <w:spacing w:val="-5"/>
                <w:sz w:val="24"/>
                <w:szCs w:val="24"/>
              </w:rPr>
              <w:t>500</w:t>
            </w:r>
          </w:p>
        </w:tc>
      </w:tr>
      <w:tr w14:paraId="3D36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7" w:type="dxa"/>
            <w:vAlign w:val="top"/>
          </w:tcPr>
          <w:p w14:paraId="05F1BE87">
            <w:pPr>
              <w:spacing w:line="246" w:lineRule="auto"/>
              <w:rPr>
                <w:rFonts w:ascii="Arial"/>
                <w:sz w:val="21"/>
              </w:rPr>
            </w:pPr>
          </w:p>
          <w:p w14:paraId="69E9DA89">
            <w:pPr>
              <w:pStyle w:val="10"/>
              <w:spacing w:before="78" w:line="182" w:lineRule="auto"/>
              <w:ind w:left="355"/>
              <w:rPr>
                <w:sz w:val="24"/>
                <w:szCs w:val="24"/>
              </w:rPr>
            </w:pPr>
            <w:r>
              <w:rPr>
                <w:sz w:val="24"/>
                <w:szCs w:val="24"/>
              </w:rPr>
              <w:t>5</w:t>
            </w:r>
          </w:p>
        </w:tc>
        <w:tc>
          <w:tcPr>
            <w:tcW w:w="7058" w:type="dxa"/>
            <w:vAlign w:val="top"/>
          </w:tcPr>
          <w:p w14:paraId="739AEB5A">
            <w:pPr>
              <w:pStyle w:val="10"/>
              <w:spacing w:before="135" w:line="225" w:lineRule="auto"/>
              <w:ind w:left="120" w:right="102" w:hanging="3"/>
              <w:rPr>
                <w:sz w:val="24"/>
                <w:szCs w:val="24"/>
              </w:rPr>
            </w:pPr>
            <w:r>
              <w:rPr>
                <w:spacing w:val="-5"/>
                <w:sz w:val="24"/>
                <w:szCs w:val="24"/>
              </w:rPr>
              <w:t>辱骂、威胁总承包单位、监理单位、建设单位、政府部门、检测验</w:t>
            </w:r>
            <w:r>
              <w:rPr>
                <w:spacing w:val="17"/>
                <w:sz w:val="24"/>
                <w:szCs w:val="24"/>
              </w:rPr>
              <w:t xml:space="preserve"> </w:t>
            </w:r>
            <w:r>
              <w:rPr>
                <w:spacing w:val="-2"/>
                <w:sz w:val="24"/>
                <w:szCs w:val="24"/>
              </w:rPr>
              <w:t>收单位人员或发生肢体冲突</w:t>
            </w:r>
          </w:p>
        </w:tc>
        <w:tc>
          <w:tcPr>
            <w:tcW w:w="1715" w:type="dxa"/>
            <w:vAlign w:val="top"/>
          </w:tcPr>
          <w:p w14:paraId="204C556A">
            <w:pPr>
              <w:spacing w:line="243" w:lineRule="auto"/>
              <w:rPr>
                <w:rFonts w:ascii="Arial"/>
                <w:sz w:val="21"/>
              </w:rPr>
            </w:pPr>
          </w:p>
          <w:p w14:paraId="48E274FF">
            <w:pPr>
              <w:pStyle w:val="10"/>
              <w:spacing w:before="78" w:line="184" w:lineRule="auto"/>
              <w:ind w:left="641"/>
              <w:rPr>
                <w:sz w:val="24"/>
                <w:szCs w:val="24"/>
              </w:rPr>
            </w:pPr>
            <w:r>
              <w:rPr>
                <w:spacing w:val="-7"/>
                <w:sz w:val="24"/>
                <w:szCs w:val="24"/>
              </w:rPr>
              <w:t>1000</w:t>
            </w:r>
          </w:p>
        </w:tc>
      </w:tr>
      <w:tr w14:paraId="3367E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7" w:type="dxa"/>
            <w:vAlign w:val="top"/>
          </w:tcPr>
          <w:p w14:paraId="3E678866">
            <w:pPr>
              <w:spacing w:line="246" w:lineRule="auto"/>
              <w:rPr>
                <w:rFonts w:ascii="Arial"/>
                <w:sz w:val="21"/>
              </w:rPr>
            </w:pPr>
          </w:p>
          <w:p w14:paraId="6B3B47A6">
            <w:pPr>
              <w:pStyle w:val="10"/>
              <w:spacing w:before="78" w:line="182" w:lineRule="auto"/>
              <w:ind w:left="355"/>
              <w:rPr>
                <w:sz w:val="24"/>
                <w:szCs w:val="24"/>
              </w:rPr>
            </w:pPr>
            <w:r>
              <w:rPr>
                <w:sz w:val="24"/>
                <w:szCs w:val="24"/>
              </w:rPr>
              <w:t>5</w:t>
            </w:r>
          </w:p>
        </w:tc>
        <w:tc>
          <w:tcPr>
            <w:tcW w:w="7058" w:type="dxa"/>
            <w:vAlign w:val="top"/>
          </w:tcPr>
          <w:p w14:paraId="77E4EEE4">
            <w:pPr>
              <w:pStyle w:val="10"/>
              <w:spacing w:before="287" w:line="219" w:lineRule="auto"/>
              <w:ind w:left="117"/>
              <w:rPr>
                <w:sz w:val="24"/>
                <w:szCs w:val="24"/>
              </w:rPr>
            </w:pPr>
            <w:r>
              <w:rPr>
                <w:spacing w:val="-1"/>
                <w:sz w:val="24"/>
                <w:szCs w:val="24"/>
              </w:rPr>
              <w:t>寻衅闹事、打架斗殴，在工地内从事非法活动</w:t>
            </w:r>
          </w:p>
        </w:tc>
        <w:tc>
          <w:tcPr>
            <w:tcW w:w="1715" w:type="dxa"/>
            <w:vAlign w:val="top"/>
          </w:tcPr>
          <w:p w14:paraId="56BA2797">
            <w:pPr>
              <w:spacing w:line="245" w:lineRule="auto"/>
              <w:rPr>
                <w:rFonts w:ascii="Arial"/>
                <w:sz w:val="21"/>
              </w:rPr>
            </w:pPr>
          </w:p>
          <w:p w14:paraId="4AE9B837">
            <w:pPr>
              <w:pStyle w:val="10"/>
              <w:spacing w:before="78" w:line="183" w:lineRule="auto"/>
              <w:ind w:left="688"/>
              <w:rPr>
                <w:sz w:val="24"/>
                <w:szCs w:val="24"/>
              </w:rPr>
            </w:pPr>
            <w:r>
              <w:rPr>
                <w:spacing w:val="-5"/>
                <w:sz w:val="24"/>
                <w:szCs w:val="24"/>
              </w:rPr>
              <w:t>500</w:t>
            </w:r>
          </w:p>
        </w:tc>
      </w:tr>
      <w:tr w14:paraId="4C651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497AAE63">
            <w:pPr>
              <w:spacing w:line="245" w:lineRule="auto"/>
              <w:rPr>
                <w:rFonts w:ascii="Arial"/>
                <w:sz w:val="21"/>
              </w:rPr>
            </w:pPr>
          </w:p>
          <w:p w14:paraId="177ADEE8">
            <w:pPr>
              <w:pStyle w:val="10"/>
              <w:spacing w:before="78" w:line="183" w:lineRule="auto"/>
              <w:ind w:left="352"/>
              <w:rPr>
                <w:sz w:val="24"/>
                <w:szCs w:val="24"/>
              </w:rPr>
            </w:pPr>
            <w:r>
              <w:rPr>
                <w:sz w:val="24"/>
                <w:szCs w:val="24"/>
              </w:rPr>
              <w:t>6</w:t>
            </w:r>
          </w:p>
        </w:tc>
        <w:tc>
          <w:tcPr>
            <w:tcW w:w="7058" w:type="dxa"/>
            <w:vAlign w:val="top"/>
          </w:tcPr>
          <w:p w14:paraId="4C715F2A">
            <w:pPr>
              <w:pStyle w:val="10"/>
              <w:spacing w:before="287" w:line="219" w:lineRule="auto"/>
              <w:ind w:left="111"/>
              <w:rPr>
                <w:sz w:val="24"/>
                <w:szCs w:val="24"/>
              </w:rPr>
            </w:pPr>
            <w:r>
              <w:rPr>
                <w:spacing w:val="-3"/>
                <w:sz w:val="24"/>
                <w:szCs w:val="24"/>
              </w:rPr>
              <w:t>在禁烟区域吸烟（影响安全的按“违规用火</w:t>
            </w:r>
            <w:r>
              <w:rPr>
                <w:spacing w:val="-74"/>
                <w:sz w:val="24"/>
                <w:szCs w:val="24"/>
              </w:rPr>
              <w:t xml:space="preserve"> </w:t>
            </w:r>
            <w:r>
              <w:rPr>
                <w:spacing w:val="-3"/>
                <w:sz w:val="24"/>
                <w:szCs w:val="24"/>
              </w:rPr>
              <w:t>”处罚</w:t>
            </w:r>
            <w:r>
              <w:rPr>
                <w:spacing w:val="-46"/>
                <w:sz w:val="24"/>
                <w:szCs w:val="24"/>
              </w:rPr>
              <w:t xml:space="preserve"> </w:t>
            </w:r>
            <w:r>
              <w:rPr>
                <w:spacing w:val="-3"/>
                <w:sz w:val="24"/>
                <w:szCs w:val="24"/>
              </w:rPr>
              <w:t>500</w:t>
            </w:r>
            <w:r>
              <w:rPr>
                <w:spacing w:val="-49"/>
                <w:sz w:val="24"/>
                <w:szCs w:val="24"/>
              </w:rPr>
              <w:t xml:space="preserve"> </w:t>
            </w:r>
            <w:r>
              <w:rPr>
                <w:spacing w:val="-3"/>
                <w:sz w:val="24"/>
                <w:szCs w:val="24"/>
              </w:rPr>
              <w:t>元）</w:t>
            </w:r>
          </w:p>
        </w:tc>
        <w:tc>
          <w:tcPr>
            <w:tcW w:w="1715" w:type="dxa"/>
            <w:vAlign w:val="top"/>
          </w:tcPr>
          <w:p w14:paraId="39E549AA">
            <w:pPr>
              <w:spacing w:line="245" w:lineRule="auto"/>
              <w:rPr>
                <w:rFonts w:ascii="Arial"/>
                <w:sz w:val="21"/>
              </w:rPr>
            </w:pPr>
          </w:p>
          <w:p w14:paraId="46466DA4">
            <w:pPr>
              <w:pStyle w:val="10"/>
              <w:spacing w:before="78" w:line="183" w:lineRule="auto"/>
              <w:ind w:left="748"/>
              <w:rPr>
                <w:sz w:val="24"/>
                <w:szCs w:val="24"/>
              </w:rPr>
            </w:pPr>
            <w:r>
              <w:rPr>
                <w:spacing w:val="-8"/>
                <w:sz w:val="24"/>
                <w:szCs w:val="24"/>
              </w:rPr>
              <w:t>50</w:t>
            </w:r>
          </w:p>
        </w:tc>
      </w:tr>
      <w:tr w14:paraId="124DE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07" w:type="dxa"/>
            <w:vAlign w:val="top"/>
          </w:tcPr>
          <w:p w14:paraId="154CDE6A">
            <w:pPr>
              <w:spacing w:line="247" w:lineRule="auto"/>
              <w:rPr>
                <w:rFonts w:ascii="Arial"/>
                <w:sz w:val="21"/>
              </w:rPr>
            </w:pPr>
          </w:p>
          <w:p w14:paraId="5D2C954F">
            <w:pPr>
              <w:pStyle w:val="10"/>
              <w:spacing w:before="78" w:line="182" w:lineRule="auto"/>
              <w:ind w:left="356"/>
              <w:rPr>
                <w:sz w:val="24"/>
                <w:szCs w:val="24"/>
              </w:rPr>
            </w:pPr>
            <w:r>
              <w:rPr>
                <w:sz w:val="24"/>
                <w:szCs w:val="24"/>
              </w:rPr>
              <w:t>7</w:t>
            </w:r>
          </w:p>
        </w:tc>
        <w:tc>
          <w:tcPr>
            <w:tcW w:w="7058" w:type="dxa"/>
            <w:vAlign w:val="top"/>
          </w:tcPr>
          <w:p w14:paraId="5491AB2D">
            <w:pPr>
              <w:pStyle w:val="10"/>
              <w:spacing w:before="287" w:line="219" w:lineRule="auto"/>
              <w:ind w:left="112"/>
              <w:rPr>
                <w:sz w:val="24"/>
                <w:szCs w:val="24"/>
              </w:rPr>
            </w:pPr>
            <w:r>
              <w:rPr>
                <w:spacing w:val="-1"/>
                <w:sz w:val="24"/>
                <w:szCs w:val="24"/>
              </w:rPr>
              <w:t>影响现场场容场貌、环境卫生的其他行为</w:t>
            </w:r>
          </w:p>
        </w:tc>
        <w:tc>
          <w:tcPr>
            <w:tcW w:w="1715" w:type="dxa"/>
            <w:vAlign w:val="top"/>
          </w:tcPr>
          <w:p w14:paraId="6EAB7A67">
            <w:pPr>
              <w:spacing w:line="246" w:lineRule="auto"/>
              <w:rPr>
                <w:rFonts w:ascii="Arial"/>
                <w:sz w:val="21"/>
              </w:rPr>
            </w:pPr>
          </w:p>
          <w:p w14:paraId="7A747FD8">
            <w:pPr>
              <w:pStyle w:val="10"/>
              <w:spacing w:before="78" w:line="183" w:lineRule="auto"/>
              <w:ind w:left="748"/>
              <w:rPr>
                <w:sz w:val="24"/>
                <w:szCs w:val="24"/>
              </w:rPr>
            </w:pPr>
            <w:r>
              <w:rPr>
                <w:spacing w:val="-8"/>
                <w:sz w:val="24"/>
                <w:szCs w:val="24"/>
              </w:rPr>
              <w:t>50</w:t>
            </w:r>
          </w:p>
        </w:tc>
      </w:tr>
    </w:tbl>
    <w:p w14:paraId="59278293">
      <w:pPr>
        <w:pStyle w:val="6"/>
      </w:pPr>
    </w:p>
    <w:p w14:paraId="689A2FEB">
      <w:pPr>
        <w:sectPr>
          <w:footerReference r:id="rId12" w:type="default"/>
          <w:pgSz w:w="11906" w:h="16839"/>
          <w:pgMar w:top="1431" w:right="1104" w:bottom="1362" w:left="1216" w:header="0" w:footer="1200" w:gutter="0"/>
          <w:cols w:space="720" w:num="1"/>
        </w:sectPr>
      </w:pPr>
    </w:p>
    <w:p w14:paraId="6D4179E5">
      <w:pPr>
        <w:pStyle w:val="6"/>
        <w:spacing w:line="358" w:lineRule="auto"/>
      </w:pPr>
    </w:p>
    <w:p w14:paraId="66113CBA">
      <w:pPr>
        <w:spacing w:before="101" w:line="224" w:lineRule="auto"/>
        <w:ind w:left="6413"/>
        <w:rPr>
          <w:rFonts w:ascii="宋体" w:hAnsi="宋体" w:eastAsia="宋体" w:cs="宋体"/>
          <w:sz w:val="31"/>
          <w:szCs w:val="31"/>
        </w:rPr>
      </w:pPr>
      <w:r>
        <w:rPr>
          <w:rFonts w:ascii="宋体" w:hAnsi="宋体" w:eastAsia="宋体" w:cs="宋体"/>
          <w:b/>
          <w:bCs/>
          <w:spacing w:val="1"/>
          <w:sz w:val="31"/>
          <w:szCs w:val="31"/>
        </w:rPr>
        <w:t>（正本/副本）</w:t>
      </w:r>
    </w:p>
    <w:p w14:paraId="072A74FE">
      <w:pPr>
        <w:pStyle w:val="6"/>
        <w:spacing w:line="249" w:lineRule="auto"/>
      </w:pPr>
    </w:p>
    <w:p w14:paraId="1C8DE67E">
      <w:pPr>
        <w:pStyle w:val="6"/>
        <w:spacing w:line="250" w:lineRule="auto"/>
      </w:pPr>
    </w:p>
    <w:p w14:paraId="5C532B92">
      <w:pPr>
        <w:pStyle w:val="6"/>
        <w:spacing w:line="250" w:lineRule="auto"/>
      </w:pPr>
    </w:p>
    <w:p w14:paraId="51E26747">
      <w:pPr>
        <w:spacing w:before="169" w:line="220" w:lineRule="auto"/>
        <w:ind w:left="1337"/>
        <w:rPr>
          <w:rFonts w:ascii="宋体" w:hAnsi="宋体" w:eastAsia="宋体" w:cs="宋体"/>
          <w:color w:val="auto"/>
          <w:sz w:val="52"/>
          <w:szCs w:val="52"/>
        </w:rPr>
      </w:pPr>
      <w:r>
        <w:rPr>
          <w:rFonts w:ascii="宋体" w:hAnsi="宋体" w:eastAsia="宋体" w:cs="宋体"/>
          <w:b/>
          <w:bCs/>
          <w:color w:val="auto"/>
          <w:spacing w:val="-9"/>
          <w:sz w:val="52"/>
          <w:szCs w:val="52"/>
        </w:rPr>
        <w:t>陕西燃气集团工程有限公司</w:t>
      </w:r>
    </w:p>
    <w:p w14:paraId="3F1CB9F8">
      <w:pPr>
        <w:keepNext w:val="0"/>
        <w:keepLines w:val="0"/>
        <w:widowControl/>
        <w:suppressLineNumbers w:val="0"/>
        <w:jc w:val="center"/>
        <w:rPr>
          <w:color w:val="auto"/>
        </w:rPr>
      </w:pPr>
      <w:r>
        <w:rPr>
          <w:rFonts w:ascii="宋体" w:hAnsi="宋体" w:eastAsia="宋体" w:cs="宋体"/>
          <w:b/>
          <w:bCs/>
          <w:color w:val="auto"/>
          <w:spacing w:val="6"/>
          <w:w w:val="90"/>
          <w:sz w:val="43"/>
          <w:szCs w:val="43"/>
          <w:lang w:val="en-US" w:eastAsia="zh-CN"/>
        </w:rPr>
        <w:t>陇漳岷天然气长输管道输配工程</w:t>
      </w:r>
      <w:r>
        <w:rPr>
          <w:rFonts w:hint="eastAsia" w:ascii="宋体" w:hAnsi="宋体" w:eastAsia="宋体" w:cs="宋体"/>
          <w:b/>
          <w:bCs/>
          <w:color w:val="auto"/>
          <w:spacing w:val="6"/>
          <w:w w:val="90"/>
          <w:sz w:val="43"/>
          <w:szCs w:val="43"/>
          <w:lang w:val="en-US" w:eastAsia="zh-CN"/>
        </w:rPr>
        <w:t>(</w:t>
      </w:r>
      <w:r>
        <w:rPr>
          <w:rFonts w:ascii="宋体" w:hAnsi="宋体" w:eastAsia="宋体" w:cs="宋体"/>
          <w:b/>
          <w:bCs/>
          <w:color w:val="auto"/>
          <w:spacing w:val="6"/>
          <w:w w:val="90"/>
          <w:sz w:val="43"/>
          <w:szCs w:val="43"/>
          <w:lang w:val="en-US" w:eastAsia="zh-CN"/>
        </w:rPr>
        <w:t>陇漳段</w:t>
      </w:r>
      <w:r>
        <w:rPr>
          <w:rFonts w:hint="eastAsia" w:ascii="宋体" w:hAnsi="宋体" w:eastAsia="宋体" w:cs="宋体"/>
          <w:b/>
          <w:bCs/>
          <w:color w:val="auto"/>
          <w:spacing w:val="6"/>
          <w:w w:val="90"/>
          <w:sz w:val="43"/>
          <w:szCs w:val="43"/>
          <w:lang w:val="en-US" w:eastAsia="zh-CN"/>
        </w:rPr>
        <w:t>)项目</w:t>
      </w:r>
    </w:p>
    <w:p w14:paraId="185E3180">
      <w:pPr>
        <w:spacing w:before="104" w:line="223" w:lineRule="auto"/>
        <w:jc w:val="center"/>
        <w:rPr>
          <w:rFonts w:hint="eastAsia" w:ascii="宋体" w:hAnsi="宋体" w:eastAsia="宋体" w:cs="宋体"/>
          <w:color w:val="auto"/>
          <w:sz w:val="43"/>
          <w:szCs w:val="43"/>
          <w:lang w:eastAsia="zh-CN"/>
        </w:rPr>
      </w:pPr>
      <w:r>
        <w:rPr>
          <w:rFonts w:hint="eastAsia" w:ascii="宋体" w:hAnsi="宋体" w:eastAsia="宋体" w:cs="宋体"/>
          <w:b/>
          <w:bCs/>
          <w:color w:val="auto"/>
          <w:spacing w:val="6"/>
          <w:w w:val="90"/>
          <w:sz w:val="43"/>
          <w:szCs w:val="43"/>
          <w:lang w:val="en-US" w:eastAsia="zh-CN"/>
        </w:rPr>
        <w:t>(</w:t>
      </w:r>
      <w:r>
        <w:rPr>
          <w:rFonts w:hint="eastAsia" w:ascii="宋体" w:hAnsi="宋体" w:eastAsia="宋体" w:cs="宋体"/>
          <w:b/>
          <w:bCs/>
          <w:color w:val="auto"/>
          <w:spacing w:val="6"/>
          <w:w w:val="90"/>
          <w:sz w:val="43"/>
          <w:szCs w:val="43"/>
          <w:lang w:eastAsia="zh-CN"/>
        </w:rPr>
        <w:t>Ⅱ标段</w:t>
      </w:r>
      <w:r>
        <w:rPr>
          <w:rFonts w:hint="eastAsia" w:ascii="宋体" w:hAnsi="宋体" w:eastAsia="宋体" w:cs="宋体"/>
          <w:b/>
          <w:bCs/>
          <w:color w:val="auto"/>
          <w:spacing w:val="6"/>
          <w:w w:val="90"/>
          <w:sz w:val="43"/>
          <w:szCs w:val="43"/>
          <w:lang w:val="en-US" w:eastAsia="zh-CN"/>
        </w:rPr>
        <w:t>)施工</w:t>
      </w:r>
      <w:r>
        <w:rPr>
          <w:rFonts w:hint="eastAsia" w:ascii="宋体" w:hAnsi="宋体" w:eastAsia="宋体" w:cs="宋体"/>
          <w:b/>
          <w:bCs/>
          <w:color w:val="auto"/>
          <w:spacing w:val="5"/>
          <w:sz w:val="43"/>
          <w:szCs w:val="43"/>
          <w:lang w:eastAsia="zh-CN"/>
        </w:rPr>
        <w:t>劳务分包</w:t>
      </w:r>
    </w:p>
    <w:p w14:paraId="6F6673FD">
      <w:pPr>
        <w:pStyle w:val="6"/>
        <w:spacing w:line="250" w:lineRule="auto"/>
      </w:pPr>
    </w:p>
    <w:p w14:paraId="0870BDED">
      <w:pPr>
        <w:pStyle w:val="6"/>
        <w:spacing w:line="250" w:lineRule="auto"/>
      </w:pPr>
    </w:p>
    <w:p w14:paraId="5A4B4470">
      <w:pPr>
        <w:pStyle w:val="6"/>
        <w:spacing w:line="250" w:lineRule="auto"/>
      </w:pPr>
    </w:p>
    <w:p w14:paraId="4E64834A">
      <w:pPr>
        <w:pStyle w:val="6"/>
        <w:spacing w:line="250" w:lineRule="auto"/>
      </w:pPr>
    </w:p>
    <w:p w14:paraId="7D4FBFBE">
      <w:pPr>
        <w:pStyle w:val="6"/>
        <w:spacing w:line="250" w:lineRule="auto"/>
      </w:pPr>
    </w:p>
    <w:p w14:paraId="76DFEB35">
      <w:pPr>
        <w:pStyle w:val="6"/>
        <w:spacing w:line="250" w:lineRule="auto"/>
      </w:pPr>
    </w:p>
    <w:p w14:paraId="6A24B598">
      <w:pPr>
        <w:spacing w:before="169" w:line="220" w:lineRule="auto"/>
        <w:ind w:left="2861"/>
        <w:rPr>
          <w:rFonts w:ascii="宋体" w:hAnsi="宋体" w:eastAsia="宋体" w:cs="宋体"/>
          <w:sz w:val="52"/>
          <w:szCs w:val="52"/>
        </w:rPr>
      </w:pPr>
      <w:r>
        <w:rPr>
          <w:rFonts w:ascii="宋体" w:hAnsi="宋体" w:eastAsia="宋体" w:cs="宋体"/>
          <w:b/>
          <w:bCs/>
          <w:spacing w:val="-7"/>
          <w:sz w:val="52"/>
          <w:szCs w:val="52"/>
        </w:rPr>
        <w:t>谈判响应文件</w:t>
      </w:r>
    </w:p>
    <w:p w14:paraId="4203597E">
      <w:pPr>
        <w:pStyle w:val="6"/>
        <w:spacing w:line="243" w:lineRule="auto"/>
      </w:pPr>
    </w:p>
    <w:p w14:paraId="40896981">
      <w:pPr>
        <w:pStyle w:val="6"/>
        <w:spacing w:line="243" w:lineRule="auto"/>
      </w:pPr>
    </w:p>
    <w:p w14:paraId="00D95B4A">
      <w:pPr>
        <w:pStyle w:val="6"/>
        <w:spacing w:line="243" w:lineRule="auto"/>
      </w:pPr>
    </w:p>
    <w:p w14:paraId="151304E7">
      <w:pPr>
        <w:pStyle w:val="6"/>
        <w:spacing w:line="243" w:lineRule="auto"/>
      </w:pPr>
    </w:p>
    <w:p w14:paraId="55160DA5">
      <w:pPr>
        <w:pStyle w:val="6"/>
        <w:spacing w:line="243" w:lineRule="auto"/>
      </w:pPr>
    </w:p>
    <w:p w14:paraId="5A921126">
      <w:pPr>
        <w:pStyle w:val="6"/>
        <w:spacing w:line="244" w:lineRule="auto"/>
      </w:pPr>
    </w:p>
    <w:p w14:paraId="3AEF154F">
      <w:pPr>
        <w:pStyle w:val="6"/>
        <w:spacing w:line="244" w:lineRule="auto"/>
      </w:pPr>
    </w:p>
    <w:p w14:paraId="518F9533">
      <w:pPr>
        <w:pStyle w:val="6"/>
        <w:spacing w:line="244" w:lineRule="auto"/>
      </w:pPr>
    </w:p>
    <w:p w14:paraId="28CAF654">
      <w:pPr>
        <w:pStyle w:val="6"/>
        <w:spacing w:line="244" w:lineRule="auto"/>
      </w:pPr>
    </w:p>
    <w:p w14:paraId="38362CAB">
      <w:pPr>
        <w:pStyle w:val="6"/>
        <w:spacing w:line="244" w:lineRule="auto"/>
      </w:pPr>
    </w:p>
    <w:p w14:paraId="7EBFC934">
      <w:pPr>
        <w:pStyle w:val="6"/>
        <w:spacing w:line="244" w:lineRule="auto"/>
      </w:pPr>
    </w:p>
    <w:p w14:paraId="4539B56B">
      <w:pPr>
        <w:pStyle w:val="6"/>
        <w:spacing w:line="244" w:lineRule="auto"/>
      </w:pPr>
    </w:p>
    <w:p w14:paraId="5578F0DB">
      <w:pPr>
        <w:pStyle w:val="6"/>
        <w:spacing w:line="244" w:lineRule="auto"/>
      </w:pPr>
    </w:p>
    <w:p w14:paraId="7FD90A12">
      <w:pPr>
        <w:pStyle w:val="6"/>
        <w:spacing w:line="244" w:lineRule="auto"/>
      </w:pPr>
    </w:p>
    <w:p w14:paraId="7DE831E2">
      <w:pPr>
        <w:spacing w:before="115" w:line="224" w:lineRule="auto"/>
        <w:rPr>
          <w:rFonts w:ascii="宋体" w:hAnsi="宋体" w:eastAsia="宋体" w:cs="宋体"/>
          <w:sz w:val="35"/>
          <w:szCs w:val="35"/>
        </w:rPr>
      </w:pPr>
      <w:r>
        <w:rPr>
          <w:rFonts w:ascii="宋体" w:hAnsi="宋体" w:eastAsia="宋体" w:cs="宋体"/>
          <w:b/>
          <w:bCs/>
          <w:spacing w:val="6"/>
          <w:sz w:val="35"/>
          <w:szCs w:val="35"/>
        </w:rPr>
        <w:t>谈判响应单位名称（公章</w:t>
      </w:r>
      <w:r>
        <w:rPr>
          <w:rFonts w:ascii="宋体" w:hAnsi="宋体" w:eastAsia="宋体" w:cs="宋体"/>
          <w:b/>
          <w:bCs/>
          <w:spacing w:val="10"/>
          <w:sz w:val="35"/>
          <w:szCs w:val="35"/>
        </w:rPr>
        <w:t>）：</w:t>
      </w:r>
      <w:r>
        <w:rPr>
          <w:rFonts w:ascii="宋体" w:hAnsi="宋体" w:eastAsia="宋体" w:cs="宋体"/>
          <w:sz w:val="35"/>
          <w:szCs w:val="35"/>
          <w:u w:val="single" w:color="auto"/>
        </w:rPr>
        <w:t xml:space="preserve">                        </w:t>
      </w:r>
    </w:p>
    <w:p w14:paraId="1FE565B6">
      <w:pPr>
        <w:pStyle w:val="6"/>
        <w:spacing w:line="363" w:lineRule="auto"/>
      </w:pPr>
    </w:p>
    <w:p w14:paraId="59920254">
      <w:pPr>
        <w:spacing w:before="114" w:line="225" w:lineRule="auto"/>
        <w:ind w:left="2"/>
        <w:rPr>
          <w:rFonts w:ascii="宋体" w:hAnsi="宋体" w:eastAsia="宋体" w:cs="宋体"/>
          <w:sz w:val="35"/>
          <w:szCs w:val="35"/>
        </w:rPr>
      </w:pPr>
      <w:r>
        <w:rPr>
          <w:rFonts w:ascii="宋体" w:hAnsi="宋体" w:eastAsia="宋体" w:cs="宋体"/>
          <w:b/>
          <w:bCs/>
          <w:spacing w:val="6"/>
          <w:sz w:val="35"/>
          <w:szCs w:val="35"/>
        </w:rPr>
        <w:t>法定代表人或委托代理人（签字</w:t>
      </w:r>
      <w:r>
        <w:rPr>
          <w:rFonts w:ascii="宋体" w:hAnsi="宋体" w:eastAsia="宋体" w:cs="宋体"/>
          <w:b/>
          <w:bCs/>
          <w:spacing w:val="11"/>
          <w:sz w:val="35"/>
          <w:szCs w:val="35"/>
        </w:rPr>
        <w:t>）：</w:t>
      </w:r>
      <w:r>
        <w:rPr>
          <w:rFonts w:ascii="宋体" w:hAnsi="宋体" w:eastAsia="宋体" w:cs="宋体"/>
          <w:sz w:val="35"/>
          <w:szCs w:val="35"/>
          <w:u w:val="single" w:color="auto"/>
        </w:rPr>
        <w:t xml:space="preserve">                  </w:t>
      </w:r>
    </w:p>
    <w:p w14:paraId="12B3D752">
      <w:pPr>
        <w:pStyle w:val="6"/>
        <w:spacing w:line="359" w:lineRule="auto"/>
      </w:pPr>
    </w:p>
    <w:p w14:paraId="0F35768F">
      <w:pPr>
        <w:spacing w:before="115" w:line="225" w:lineRule="auto"/>
        <w:ind w:left="3165"/>
        <w:rPr>
          <w:rFonts w:ascii="宋体" w:hAnsi="宋体" w:eastAsia="宋体" w:cs="宋体"/>
          <w:sz w:val="35"/>
          <w:szCs w:val="35"/>
        </w:rPr>
      </w:pPr>
      <w:r>
        <w:rPr>
          <w:rFonts w:ascii="宋体" w:hAnsi="宋体" w:eastAsia="宋体" w:cs="宋体"/>
          <w:b/>
          <w:bCs/>
          <w:spacing w:val="4"/>
          <w:sz w:val="35"/>
          <w:szCs w:val="35"/>
        </w:rPr>
        <w:t>二〇二四年</w:t>
      </w:r>
      <w:r>
        <w:rPr>
          <w:rFonts w:hint="eastAsia" w:ascii="宋体" w:hAnsi="宋体" w:eastAsia="宋体" w:cs="宋体"/>
          <w:b/>
          <w:bCs/>
          <w:spacing w:val="4"/>
          <w:sz w:val="35"/>
          <w:szCs w:val="35"/>
          <w:lang w:val="en-US" w:eastAsia="zh-CN"/>
        </w:rPr>
        <w:t>十</w:t>
      </w:r>
      <w:r>
        <w:rPr>
          <w:rFonts w:ascii="宋体" w:hAnsi="宋体" w:eastAsia="宋体" w:cs="宋体"/>
          <w:b/>
          <w:bCs/>
          <w:spacing w:val="4"/>
          <w:sz w:val="35"/>
          <w:szCs w:val="35"/>
        </w:rPr>
        <w:t>月</w:t>
      </w:r>
    </w:p>
    <w:p w14:paraId="003D33F4">
      <w:pPr>
        <w:spacing w:line="225" w:lineRule="auto"/>
        <w:rPr>
          <w:rFonts w:ascii="宋体" w:hAnsi="宋体" w:eastAsia="宋体" w:cs="宋体"/>
          <w:sz w:val="35"/>
          <w:szCs w:val="35"/>
        </w:rPr>
        <w:sectPr>
          <w:footerReference r:id="rId13" w:type="default"/>
          <w:pgSz w:w="11906" w:h="16839"/>
          <w:pgMar w:top="1431" w:right="1474" w:bottom="1362" w:left="1598" w:header="0" w:footer="1200" w:gutter="0"/>
          <w:cols w:space="720" w:num="1"/>
        </w:sectPr>
      </w:pPr>
    </w:p>
    <w:p w14:paraId="3227D309">
      <w:pPr>
        <w:spacing w:before="139" w:line="225" w:lineRule="auto"/>
        <w:ind w:left="3662"/>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6"/>
          <w:sz w:val="43"/>
          <w:szCs w:val="43"/>
        </w:rPr>
        <w:t xml:space="preserve">  </w:t>
      </w:r>
      <w:r>
        <w:rPr>
          <w:rFonts w:ascii="宋体" w:hAnsi="宋体" w:eastAsia="宋体" w:cs="宋体"/>
          <w:b/>
          <w:bCs/>
          <w:spacing w:val="-51"/>
          <w:sz w:val="43"/>
          <w:szCs w:val="43"/>
        </w:rPr>
        <w:t>录</w:t>
      </w:r>
    </w:p>
    <w:p w14:paraId="542E3960">
      <w:pPr>
        <w:spacing w:before="176" w:line="221" w:lineRule="auto"/>
        <w:ind w:left="391"/>
        <w:rPr>
          <w:rFonts w:ascii="宋体" w:hAnsi="宋体" w:eastAsia="宋体" w:cs="宋体"/>
          <w:sz w:val="28"/>
          <w:szCs w:val="28"/>
        </w:rPr>
      </w:pPr>
      <w:r>
        <w:rPr>
          <w:rFonts w:ascii="宋体" w:hAnsi="宋体" w:eastAsia="宋体" w:cs="宋体"/>
          <w:spacing w:val="4"/>
          <w:sz w:val="28"/>
          <w:szCs w:val="28"/>
        </w:rPr>
        <w:t>一、谈判响应函</w:t>
      </w:r>
    </w:p>
    <w:p w14:paraId="7DA257D4">
      <w:pPr>
        <w:spacing w:before="289" w:line="219" w:lineRule="auto"/>
        <w:ind w:left="391"/>
        <w:rPr>
          <w:rFonts w:ascii="宋体" w:hAnsi="宋体" w:eastAsia="宋体" w:cs="宋体"/>
          <w:sz w:val="28"/>
          <w:szCs w:val="28"/>
        </w:rPr>
      </w:pPr>
      <w:r>
        <w:rPr>
          <w:rFonts w:ascii="宋体" w:hAnsi="宋体" w:eastAsia="宋体" w:cs="宋体"/>
          <w:spacing w:val="6"/>
          <w:sz w:val="28"/>
          <w:szCs w:val="28"/>
        </w:rPr>
        <w:t>二、法定代表人授权委托书</w:t>
      </w:r>
    </w:p>
    <w:p w14:paraId="58E5D381">
      <w:pPr>
        <w:spacing w:before="291" w:line="219" w:lineRule="auto"/>
        <w:ind w:left="387"/>
        <w:rPr>
          <w:rFonts w:ascii="宋体" w:hAnsi="宋体" w:eastAsia="宋体" w:cs="宋体"/>
          <w:sz w:val="28"/>
          <w:szCs w:val="28"/>
        </w:rPr>
      </w:pPr>
      <w:r>
        <w:rPr>
          <w:rFonts w:ascii="宋体" w:hAnsi="宋体" w:eastAsia="宋体" w:cs="宋体"/>
          <w:spacing w:val="4"/>
          <w:sz w:val="28"/>
          <w:szCs w:val="28"/>
        </w:rPr>
        <w:t>三、报价单</w:t>
      </w:r>
    </w:p>
    <w:p w14:paraId="07442D8D">
      <w:pPr>
        <w:spacing w:before="292" w:line="220" w:lineRule="auto"/>
        <w:ind w:left="413"/>
        <w:rPr>
          <w:rFonts w:ascii="宋体" w:hAnsi="宋体" w:eastAsia="宋体" w:cs="宋体"/>
          <w:sz w:val="28"/>
          <w:szCs w:val="28"/>
        </w:rPr>
      </w:pPr>
      <w:r>
        <w:rPr>
          <w:rFonts w:ascii="宋体" w:hAnsi="宋体" w:eastAsia="宋体" w:cs="宋体"/>
          <w:spacing w:val="2"/>
          <w:sz w:val="28"/>
          <w:szCs w:val="28"/>
        </w:rPr>
        <w:t>四、资质证明文件</w:t>
      </w:r>
    </w:p>
    <w:p w14:paraId="0EAA366D">
      <w:pPr>
        <w:spacing w:before="290" w:line="220" w:lineRule="auto"/>
        <w:ind w:left="391"/>
        <w:rPr>
          <w:rFonts w:ascii="宋体" w:hAnsi="宋体" w:eastAsia="宋体" w:cs="宋体"/>
          <w:sz w:val="28"/>
          <w:szCs w:val="28"/>
        </w:rPr>
      </w:pPr>
      <w:r>
        <w:rPr>
          <w:rFonts w:ascii="宋体" w:hAnsi="宋体" w:eastAsia="宋体" w:cs="宋体"/>
          <w:spacing w:val="6"/>
          <w:sz w:val="28"/>
          <w:szCs w:val="28"/>
        </w:rPr>
        <w:t>五、类似工程业绩证明资料</w:t>
      </w:r>
    </w:p>
    <w:p w14:paraId="0F08FF84">
      <w:pPr>
        <w:spacing w:before="291" w:line="220" w:lineRule="auto"/>
        <w:ind w:left="389"/>
        <w:rPr>
          <w:rFonts w:ascii="宋体" w:hAnsi="宋体" w:eastAsia="宋体" w:cs="宋体"/>
          <w:sz w:val="28"/>
          <w:szCs w:val="28"/>
        </w:rPr>
      </w:pPr>
      <w:r>
        <w:rPr>
          <w:rFonts w:ascii="宋体" w:hAnsi="宋体" w:eastAsia="宋体" w:cs="宋体"/>
          <w:spacing w:val="5"/>
          <w:sz w:val="28"/>
          <w:szCs w:val="28"/>
        </w:rPr>
        <w:t>六、信用证明资料</w:t>
      </w:r>
    </w:p>
    <w:p w14:paraId="0405055A">
      <w:pPr>
        <w:spacing w:before="290" w:line="220" w:lineRule="auto"/>
        <w:ind w:left="386"/>
        <w:rPr>
          <w:rFonts w:ascii="宋体" w:hAnsi="宋体" w:eastAsia="宋体" w:cs="宋体"/>
          <w:sz w:val="28"/>
          <w:szCs w:val="28"/>
        </w:rPr>
      </w:pPr>
      <w:r>
        <w:rPr>
          <w:rFonts w:ascii="宋体" w:hAnsi="宋体" w:eastAsia="宋体" w:cs="宋体"/>
          <w:spacing w:val="6"/>
          <w:sz w:val="28"/>
          <w:szCs w:val="28"/>
        </w:rPr>
        <w:t>七、特种作业人员职业资格证、操作证（</w:t>
      </w:r>
      <w:r>
        <w:rPr>
          <w:rFonts w:ascii="宋体" w:hAnsi="宋体" w:eastAsia="宋体" w:cs="宋体"/>
          <w:sz w:val="28"/>
          <w:szCs w:val="28"/>
        </w:rPr>
        <w:t>IC</w:t>
      </w:r>
      <w:r>
        <w:rPr>
          <w:rFonts w:ascii="宋体" w:hAnsi="宋体" w:eastAsia="宋体" w:cs="宋体"/>
          <w:spacing w:val="-34"/>
          <w:sz w:val="28"/>
          <w:szCs w:val="28"/>
        </w:rPr>
        <w:t xml:space="preserve"> </w:t>
      </w:r>
      <w:r>
        <w:rPr>
          <w:rFonts w:ascii="宋体" w:hAnsi="宋体" w:eastAsia="宋体" w:cs="宋体"/>
          <w:spacing w:val="6"/>
          <w:sz w:val="28"/>
          <w:szCs w:val="28"/>
        </w:rPr>
        <w:t>卡）资料</w:t>
      </w:r>
    </w:p>
    <w:p w14:paraId="3A16CB61">
      <w:pPr>
        <w:spacing w:before="290" w:line="220" w:lineRule="auto"/>
        <w:ind w:left="391"/>
        <w:rPr>
          <w:rFonts w:ascii="宋体" w:hAnsi="宋体" w:eastAsia="宋体" w:cs="宋体"/>
          <w:sz w:val="28"/>
          <w:szCs w:val="28"/>
        </w:rPr>
      </w:pPr>
      <w:r>
        <w:rPr>
          <w:rFonts w:ascii="宋体" w:hAnsi="宋体" w:eastAsia="宋体" w:cs="宋体"/>
          <w:spacing w:val="5"/>
          <w:sz w:val="28"/>
          <w:szCs w:val="28"/>
        </w:rPr>
        <w:t>八、人员资历证明资料</w:t>
      </w:r>
    </w:p>
    <w:p w14:paraId="568EED33">
      <w:pPr>
        <w:spacing w:before="291" w:line="220" w:lineRule="auto"/>
        <w:ind w:left="394"/>
        <w:rPr>
          <w:rFonts w:ascii="宋体" w:hAnsi="宋体" w:eastAsia="宋体" w:cs="宋体"/>
          <w:sz w:val="28"/>
          <w:szCs w:val="28"/>
        </w:rPr>
      </w:pPr>
      <w:r>
        <w:rPr>
          <w:rFonts w:ascii="宋体" w:hAnsi="宋体" w:eastAsia="宋体" w:cs="宋体"/>
          <w:spacing w:val="-1"/>
          <w:sz w:val="28"/>
          <w:szCs w:val="28"/>
        </w:rPr>
        <w:t>九、对响应文件及合同条款的承诺和补充</w:t>
      </w:r>
    </w:p>
    <w:p w14:paraId="48E15365">
      <w:pPr>
        <w:spacing w:before="290" w:line="220" w:lineRule="auto"/>
        <w:ind w:left="388"/>
        <w:rPr>
          <w:rFonts w:ascii="宋体" w:hAnsi="宋体" w:eastAsia="宋体" w:cs="宋体"/>
          <w:sz w:val="28"/>
          <w:szCs w:val="28"/>
        </w:rPr>
      </w:pPr>
      <w:r>
        <w:rPr>
          <w:rFonts w:ascii="宋体" w:hAnsi="宋体" w:eastAsia="宋体" w:cs="宋体"/>
          <w:spacing w:val="5"/>
          <w:sz w:val="28"/>
          <w:szCs w:val="28"/>
        </w:rPr>
        <w:t>十、竞争性谈判回执</w:t>
      </w:r>
    </w:p>
    <w:p w14:paraId="470FE566">
      <w:pPr>
        <w:spacing w:line="220" w:lineRule="auto"/>
        <w:rPr>
          <w:rFonts w:ascii="宋体" w:hAnsi="宋体" w:eastAsia="宋体" w:cs="宋体"/>
          <w:sz w:val="28"/>
          <w:szCs w:val="28"/>
        </w:rPr>
        <w:sectPr>
          <w:footerReference r:id="rId14" w:type="default"/>
          <w:pgSz w:w="11906" w:h="16839"/>
          <w:pgMar w:top="1431" w:right="1785" w:bottom="1362" w:left="1785" w:header="0" w:footer="1200" w:gutter="0"/>
          <w:cols w:space="720" w:num="1"/>
        </w:sectPr>
      </w:pPr>
    </w:p>
    <w:p w14:paraId="391A7C28">
      <w:pPr>
        <w:spacing w:before="185" w:line="225" w:lineRule="auto"/>
        <w:ind w:left="3703"/>
        <w:rPr>
          <w:rFonts w:ascii="宋体" w:hAnsi="宋体" w:eastAsia="宋体" w:cs="宋体"/>
          <w:sz w:val="31"/>
          <w:szCs w:val="31"/>
        </w:rPr>
      </w:pPr>
      <w:r>
        <w:rPr>
          <w:rFonts w:ascii="宋体" w:hAnsi="宋体" w:eastAsia="宋体" w:cs="宋体"/>
          <w:b/>
          <w:bCs/>
          <w:spacing w:val="5"/>
          <w:sz w:val="31"/>
          <w:szCs w:val="31"/>
        </w:rPr>
        <w:t>一、谈判响应函</w:t>
      </w:r>
    </w:p>
    <w:p w14:paraId="50073F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致：陕西燃气集团工程有限公司</w:t>
      </w:r>
    </w:p>
    <w:p w14:paraId="6A370563">
      <w:pPr>
        <w:spacing w:before="188" w:line="336" w:lineRule="auto"/>
        <w:ind w:firstLine="577"/>
        <w:jc w:val="both"/>
        <w:rPr>
          <w:rFonts w:ascii="宋体" w:hAnsi="宋体" w:eastAsia="宋体" w:cs="宋体"/>
          <w:sz w:val="28"/>
          <w:szCs w:val="28"/>
        </w:rPr>
      </w:pPr>
      <w:r>
        <w:rPr>
          <w:rFonts w:ascii="宋体" w:hAnsi="宋体" w:eastAsia="宋体" w:cs="宋体"/>
          <w:color w:val="auto"/>
          <w:spacing w:val="4"/>
          <w:sz w:val="28"/>
          <w:szCs w:val="28"/>
        </w:rPr>
        <w:t>根据贵方</w:t>
      </w:r>
      <w:r>
        <w:rPr>
          <w:rFonts w:ascii="宋体" w:hAnsi="宋体" w:eastAsia="宋体" w:cs="宋体"/>
          <w:color w:val="auto"/>
          <w:spacing w:val="4"/>
          <w:sz w:val="28"/>
          <w:szCs w:val="28"/>
          <w:u w:val="single" w:color="auto"/>
        </w:rPr>
        <w:t xml:space="preserve"> </w:t>
      </w:r>
      <w:r>
        <w:rPr>
          <w:rFonts w:hint="eastAsia" w:ascii="宋体" w:hAnsi="宋体" w:eastAsia="宋体" w:cs="宋体"/>
          <w:color w:val="auto"/>
          <w:spacing w:val="4"/>
          <w:sz w:val="28"/>
          <w:szCs w:val="28"/>
          <w:u w:val="single" w:color="auto"/>
          <w:lang w:eastAsia="zh-CN"/>
        </w:rPr>
        <w:t>陇漳岷天然气长输管道输配工程（陇漳段）项目（Ⅱ标段）</w:t>
      </w:r>
      <w:r>
        <w:rPr>
          <w:rFonts w:hint="eastAsia" w:ascii="宋体" w:hAnsi="宋体" w:eastAsia="宋体" w:cs="宋体"/>
          <w:color w:val="auto"/>
          <w:spacing w:val="4"/>
          <w:sz w:val="28"/>
          <w:szCs w:val="28"/>
          <w:u w:val="single" w:color="auto"/>
          <w:lang w:val="en-US" w:eastAsia="zh-CN"/>
        </w:rPr>
        <w:t>施工</w:t>
      </w:r>
      <w:r>
        <w:rPr>
          <w:rFonts w:hint="eastAsia" w:ascii="宋体" w:hAnsi="宋体" w:eastAsia="宋体" w:cs="宋体"/>
          <w:color w:val="auto"/>
          <w:spacing w:val="4"/>
          <w:sz w:val="28"/>
          <w:szCs w:val="28"/>
          <w:u w:val="single" w:color="auto"/>
          <w:lang w:eastAsia="zh-CN"/>
        </w:rPr>
        <w:t>劳务分包</w:t>
      </w:r>
      <w:r>
        <w:rPr>
          <w:rFonts w:ascii="宋体" w:hAnsi="宋体" w:eastAsia="宋体" w:cs="宋体"/>
          <w:spacing w:val="7"/>
          <w:sz w:val="28"/>
          <w:szCs w:val="28"/>
        </w:rPr>
        <w:t>项目的谈判报价邀请，签字代表</w:t>
      </w:r>
      <w:r>
        <w:rPr>
          <w:rFonts w:ascii="宋体" w:hAnsi="宋体" w:eastAsia="宋体" w:cs="宋体"/>
          <w:spacing w:val="7"/>
          <w:sz w:val="28"/>
          <w:szCs w:val="28"/>
          <w:u w:val="single" w:color="auto"/>
        </w:rPr>
        <w:t>（全名、职务）</w:t>
      </w:r>
      <w:r>
        <w:rPr>
          <w:rFonts w:ascii="宋体" w:hAnsi="宋体" w:eastAsia="宋体" w:cs="宋体"/>
          <w:spacing w:val="7"/>
          <w:sz w:val="28"/>
          <w:szCs w:val="28"/>
        </w:rPr>
        <w:t>经正式授权并代表</w:t>
      </w:r>
      <w:r>
        <w:rPr>
          <w:rFonts w:ascii="宋体" w:hAnsi="宋体" w:eastAsia="宋体" w:cs="宋体"/>
          <w:spacing w:val="2"/>
          <w:sz w:val="28"/>
          <w:szCs w:val="28"/>
        </w:rPr>
        <w:t xml:space="preserve"> </w:t>
      </w:r>
      <w:r>
        <w:rPr>
          <w:rFonts w:ascii="宋体" w:hAnsi="宋体" w:eastAsia="宋体" w:cs="宋体"/>
          <w:spacing w:val="7"/>
          <w:sz w:val="28"/>
          <w:szCs w:val="28"/>
        </w:rPr>
        <w:t>谈判响应单位</w:t>
      </w:r>
      <w:r>
        <w:rPr>
          <w:rFonts w:ascii="宋体" w:hAnsi="宋体" w:eastAsia="宋体" w:cs="宋体"/>
          <w:spacing w:val="7"/>
          <w:sz w:val="28"/>
          <w:szCs w:val="28"/>
          <w:u w:val="single" w:color="auto"/>
        </w:rPr>
        <w:t>(投标人名称、地址)</w:t>
      </w:r>
      <w:r>
        <w:rPr>
          <w:rFonts w:ascii="宋体" w:hAnsi="宋体" w:eastAsia="宋体" w:cs="宋体"/>
          <w:spacing w:val="7"/>
          <w:sz w:val="28"/>
          <w:szCs w:val="28"/>
        </w:rPr>
        <w:t xml:space="preserve"> 提交谈判响应文件正本壹份、</w:t>
      </w:r>
      <w:r>
        <w:rPr>
          <w:rFonts w:ascii="宋体" w:hAnsi="宋体" w:eastAsia="宋体" w:cs="宋体"/>
          <w:spacing w:val="6"/>
          <w:sz w:val="28"/>
          <w:szCs w:val="28"/>
        </w:rPr>
        <w:t>副本一式贰</w:t>
      </w:r>
      <w:r>
        <w:rPr>
          <w:rFonts w:ascii="宋体" w:hAnsi="宋体" w:eastAsia="宋体" w:cs="宋体"/>
          <w:spacing w:val="-5"/>
          <w:sz w:val="28"/>
          <w:szCs w:val="28"/>
        </w:rPr>
        <w:t>份。</w:t>
      </w:r>
    </w:p>
    <w:p w14:paraId="78A342C7">
      <w:pPr>
        <w:spacing w:before="39" w:line="220" w:lineRule="auto"/>
        <w:ind w:left="531"/>
        <w:rPr>
          <w:rFonts w:ascii="宋体" w:hAnsi="宋体" w:eastAsia="宋体" w:cs="宋体"/>
          <w:sz w:val="28"/>
          <w:szCs w:val="28"/>
        </w:rPr>
      </w:pPr>
      <w:r>
        <w:rPr>
          <w:rFonts w:ascii="宋体" w:hAnsi="宋体" w:eastAsia="宋体" w:cs="宋体"/>
          <w:spacing w:val="3"/>
          <w:sz w:val="28"/>
          <w:szCs w:val="28"/>
        </w:rPr>
        <w:t>我方承诺如下：</w:t>
      </w:r>
    </w:p>
    <w:p w14:paraId="4717F507">
      <w:pPr>
        <w:spacing w:before="186" w:line="219" w:lineRule="auto"/>
        <w:ind w:left="597"/>
        <w:rPr>
          <w:rFonts w:ascii="宋体" w:hAnsi="宋体" w:eastAsia="宋体" w:cs="宋体"/>
          <w:sz w:val="28"/>
          <w:szCs w:val="28"/>
        </w:rPr>
      </w:pPr>
      <w:r>
        <w:rPr>
          <w:rFonts w:ascii="宋体" w:hAnsi="宋体" w:eastAsia="宋体" w:cs="宋体"/>
          <w:spacing w:val="3"/>
          <w:sz w:val="28"/>
          <w:szCs w:val="28"/>
        </w:rPr>
        <w:t xml:space="preserve">1）投标总价为 </w:t>
      </w:r>
      <w:r>
        <w:rPr>
          <w:rFonts w:ascii="宋体" w:hAnsi="宋体" w:eastAsia="宋体" w:cs="宋体"/>
          <w:spacing w:val="9"/>
          <w:sz w:val="28"/>
          <w:szCs w:val="28"/>
          <w:u w:val="single" w:color="auto"/>
        </w:rPr>
        <w:t xml:space="preserve">        </w:t>
      </w:r>
      <w:r>
        <w:rPr>
          <w:rFonts w:ascii="宋体" w:hAnsi="宋体" w:eastAsia="宋体" w:cs="宋体"/>
          <w:spacing w:val="47"/>
          <w:sz w:val="28"/>
          <w:szCs w:val="28"/>
        </w:rPr>
        <w:t xml:space="preserve"> </w:t>
      </w:r>
      <w:r>
        <w:rPr>
          <w:rFonts w:ascii="宋体" w:hAnsi="宋体" w:eastAsia="宋体" w:cs="宋体"/>
          <w:spacing w:val="3"/>
          <w:sz w:val="28"/>
          <w:szCs w:val="28"/>
        </w:rPr>
        <w:t>，大写（人民币）</w:t>
      </w:r>
      <w:r>
        <w:rPr>
          <w:rFonts w:ascii="宋体" w:hAnsi="宋体" w:eastAsia="宋体" w:cs="宋体"/>
          <w:spacing w:val="7"/>
          <w:sz w:val="28"/>
          <w:szCs w:val="28"/>
          <w:u w:val="single" w:color="auto"/>
        </w:rPr>
        <w:t xml:space="preserve">           </w:t>
      </w:r>
      <w:r>
        <w:rPr>
          <w:rFonts w:ascii="宋体" w:hAnsi="宋体" w:eastAsia="宋体" w:cs="宋体"/>
          <w:spacing w:val="3"/>
          <w:sz w:val="28"/>
          <w:szCs w:val="28"/>
        </w:rPr>
        <w:t xml:space="preserve"> 。</w:t>
      </w:r>
    </w:p>
    <w:p w14:paraId="78C8F8DF">
      <w:pPr>
        <w:spacing w:before="188" w:line="221" w:lineRule="auto"/>
        <w:ind w:left="580"/>
        <w:rPr>
          <w:rFonts w:ascii="宋体" w:hAnsi="宋体" w:eastAsia="宋体" w:cs="宋体"/>
          <w:sz w:val="28"/>
          <w:szCs w:val="28"/>
        </w:rPr>
      </w:pPr>
      <w:r>
        <w:rPr>
          <w:rFonts w:ascii="宋体" w:hAnsi="宋体" w:eastAsia="宋体" w:cs="宋体"/>
          <w:spacing w:val="4"/>
          <w:sz w:val="28"/>
          <w:szCs w:val="28"/>
        </w:rPr>
        <w:t>2）工期：</w:t>
      </w:r>
      <w:r>
        <w:rPr>
          <w:rFonts w:ascii="宋体" w:hAnsi="宋体" w:eastAsia="宋体" w:cs="宋体"/>
          <w:spacing w:val="8"/>
          <w:sz w:val="28"/>
          <w:szCs w:val="28"/>
          <w:u w:val="single" w:color="auto"/>
        </w:rPr>
        <w:t xml:space="preserve">              </w:t>
      </w:r>
      <w:r>
        <w:rPr>
          <w:rFonts w:ascii="宋体" w:hAnsi="宋体" w:eastAsia="宋体" w:cs="宋体"/>
          <w:spacing w:val="4"/>
          <w:sz w:val="28"/>
          <w:szCs w:val="28"/>
        </w:rPr>
        <w:t>。</w:t>
      </w:r>
    </w:p>
    <w:p w14:paraId="15B86BC4">
      <w:pPr>
        <w:spacing w:before="184" w:line="220" w:lineRule="auto"/>
        <w:jc w:val="right"/>
        <w:rPr>
          <w:rFonts w:ascii="宋体" w:hAnsi="宋体" w:eastAsia="宋体" w:cs="宋体"/>
          <w:sz w:val="28"/>
          <w:szCs w:val="28"/>
        </w:rPr>
      </w:pPr>
      <w:r>
        <w:rPr>
          <w:rFonts w:ascii="宋体" w:hAnsi="宋体" w:eastAsia="宋体" w:cs="宋体"/>
          <w:spacing w:val="6"/>
          <w:sz w:val="28"/>
          <w:szCs w:val="28"/>
        </w:rPr>
        <w:t>3）如果成交，我们根据谈判响应文件的规定，履行合同的</w:t>
      </w:r>
      <w:r>
        <w:rPr>
          <w:rFonts w:ascii="宋体" w:hAnsi="宋体" w:eastAsia="宋体" w:cs="宋体"/>
          <w:spacing w:val="5"/>
          <w:sz w:val="28"/>
          <w:szCs w:val="28"/>
        </w:rPr>
        <w:t>责任和义务。</w:t>
      </w:r>
    </w:p>
    <w:p w14:paraId="70A87FEF">
      <w:pPr>
        <w:spacing w:before="188" w:line="281" w:lineRule="auto"/>
        <w:ind w:left="2" w:firstLine="573"/>
        <w:rPr>
          <w:rFonts w:ascii="宋体" w:hAnsi="宋体" w:eastAsia="宋体" w:cs="宋体"/>
          <w:sz w:val="28"/>
          <w:szCs w:val="28"/>
        </w:rPr>
      </w:pPr>
      <w:r>
        <w:rPr>
          <w:rFonts w:ascii="宋体" w:hAnsi="宋体" w:eastAsia="宋体" w:cs="宋体"/>
          <w:spacing w:val="6"/>
          <w:sz w:val="28"/>
          <w:szCs w:val="28"/>
        </w:rPr>
        <w:t>4）我们已详细阅读和审核全部招标文件（含修改部分，如有的话</w:t>
      </w:r>
      <w:r>
        <w:rPr>
          <w:rFonts w:ascii="宋体" w:hAnsi="宋体" w:eastAsia="宋体" w:cs="宋体"/>
          <w:spacing w:val="22"/>
          <w:sz w:val="28"/>
          <w:szCs w:val="28"/>
        </w:rPr>
        <w:t>），</w:t>
      </w:r>
      <w:r>
        <w:rPr>
          <w:rFonts w:ascii="宋体" w:hAnsi="宋体" w:eastAsia="宋体" w:cs="宋体"/>
          <w:spacing w:val="6"/>
          <w:sz w:val="28"/>
          <w:szCs w:val="28"/>
        </w:rPr>
        <w:t>及</w:t>
      </w:r>
      <w:r>
        <w:rPr>
          <w:rFonts w:ascii="宋体" w:hAnsi="宋体" w:eastAsia="宋体" w:cs="宋体"/>
          <w:sz w:val="28"/>
          <w:szCs w:val="28"/>
        </w:rPr>
        <w:t xml:space="preserve"> </w:t>
      </w:r>
      <w:r>
        <w:rPr>
          <w:rFonts w:ascii="宋体" w:hAnsi="宋体" w:eastAsia="宋体" w:cs="宋体"/>
          <w:spacing w:val="7"/>
          <w:sz w:val="28"/>
          <w:szCs w:val="28"/>
        </w:rPr>
        <w:t>有关附件，我们知道必须放弃提出含糊不清或误解的问题的权利。</w:t>
      </w:r>
    </w:p>
    <w:p w14:paraId="5C008B8C">
      <w:pPr>
        <w:spacing w:before="185" w:line="282" w:lineRule="auto"/>
        <w:ind w:firstLine="582"/>
        <w:rPr>
          <w:rFonts w:ascii="宋体" w:hAnsi="宋体" w:eastAsia="宋体" w:cs="宋体"/>
          <w:sz w:val="28"/>
          <w:szCs w:val="28"/>
        </w:rPr>
      </w:pPr>
      <w:r>
        <w:rPr>
          <w:rFonts w:ascii="宋体" w:hAnsi="宋体" w:eastAsia="宋体" w:cs="宋体"/>
          <w:sz w:val="28"/>
          <w:szCs w:val="28"/>
        </w:rPr>
        <w:t>5）我们同意在投标有效期内（</w:t>
      </w:r>
      <w:r>
        <w:rPr>
          <w:rFonts w:ascii="宋体" w:hAnsi="宋体" w:eastAsia="宋体" w:cs="宋体"/>
          <w:spacing w:val="-91"/>
          <w:sz w:val="28"/>
          <w:szCs w:val="28"/>
        </w:rPr>
        <w:t xml:space="preserve"> </w:t>
      </w:r>
      <w:r>
        <w:rPr>
          <w:rFonts w:ascii="宋体" w:hAnsi="宋体" w:eastAsia="宋体" w:cs="宋体"/>
          <w:spacing w:val="-83"/>
          <w:sz w:val="28"/>
          <w:szCs w:val="28"/>
          <w:u w:val="single" w:color="auto"/>
        </w:rPr>
        <w:t xml:space="preserve"> </w:t>
      </w:r>
      <w:r>
        <w:rPr>
          <w:rFonts w:ascii="宋体" w:hAnsi="宋体" w:eastAsia="宋体" w:cs="宋体"/>
          <w:sz w:val="28"/>
          <w:szCs w:val="28"/>
          <w:u w:val="single" w:color="auto"/>
        </w:rPr>
        <w:t>自投标之日起</w:t>
      </w:r>
      <w:r>
        <w:rPr>
          <w:rFonts w:ascii="宋体" w:hAnsi="宋体" w:eastAsia="宋体" w:cs="宋体"/>
          <w:spacing w:val="-29"/>
          <w:sz w:val="28"/>
          <w:szCs w:val="28"/>
          <w:u w:val="single" w:color="auto"/>
        </w:rPr>
        <w:t xml:space="preserve"> </w:t>
      </w:r>
      <w:r>
        <w:rPr>
          <w:rFonts w:ascii="宋体" w:hAnsi="宋体" w:eastAsia="宋体" w:cs="宋体"/>
          <w:sz w:val="28"/>
          <w:szCs w:val="28"/>
          <w:u w:val="single" w:color="auto"/>
        </w:rPr>
        <w:t>120</w:t>
      </w:r>
      <w:r>
        <w:rPr>
          <w:rFonts w:ascii="宋体" w:hAnsi="宋体" w:eastAsia="宋体" w:cs="宋体"/>
          <w:spacing w:val="-46"/>
          <w:sz w:val="28"/>
          <w:szCs w:val="28"/>
          <w:u w:val="single" w:color="auto"/>
        </w:rPr>
        <w:t xml:space="preserve"> </w:t>
      </w:r>
      <w:r>
        <w:rPr>
          <w:rFonts w:ascii="宋体" w:hAnsi="宋体" w:eastAsia="宋体" w:cs="宋体"/>
          <w:sz w:val="28"/>
          <w:szCs w:val="28"/>
          <w:u w:val="single" w:color="auto"/>
        </w:rPr>
        <w:t>天内</w:t>
      </w:r>
      <w:r>
        <w:rPr>
          <w:rFonts w:ascii="宋体" w:hAnsi="宋体" w:eastAsia="宋体" w:cs="宋体"/>
          <w:spacing w:val="23"/>
          <w:sz w:val="28"/>
          <w:szCs w:val="28"/>
        </w:rPr>
        <w:t>），</w:t>
      </w:r>
      <w:r>
        <w:rPr>
          <w:rFonts w:ascii="宋体" w:hAnsi="宋体" w:eastAsia="宋体" w:cs="宋体"/>
          <w:sz w:val="28"/>
          <w:szCs w:val="28"/>
        </w:rPr>
        <w:t xml:space="preserve">本谈判响应函 </w:t>
      </w:r>
      <w:r>
        <w:rPr>
          <w:rFonts w:ascii="宋体" w:hAnsi="宋体" w:eastAsia="宋体" w:cs="宋体"/>
          <w:spacing w:val="5"/>
          <w:sz w:val="28"/>
          <w:szCs w:val="28"/>
        </w:rPr>
        <w:t>对我方具有约束力。</w:t>
      </w:r>
    </w:p>
    <w:p w14:paraId="7AE2FD9B">
      <w:pPr>
        <w:spacing w:before="187" w:line="219" w:lineRule="auto"/>
        <w:ind w:left="579"/>
        <w:rPr>
          <w:rFonts w:ascii="宋体" w:hAnsi="宋体" w:eastAsia="宋体" w:cs="宋体"/>
          <w:sz w:val="28"/>
          <w:szCs w:val="28"/>
        </w:rPr>
      </w:pPr>
      <w:r>
        <w:rPr>
          <w:rFonts w:ascii="宋体" w:hAnsi="宋体" w:eastAsia="宋体" w:cs="宋体"/>
          <w:spacing w:val="7"/>
          <w:sz w:val="28"/>
          <w:szCs w:val="28"/>
        </w:rPr>
        <w:t>6）同意提供贵方可能另外要求的与本投标有关的任何证据</w:t>
      </w:r>
      <w:r>
        <w:rPr>
          <w:rFonts w:ascii="宋体" w:hAnsi="宋体" w:eastAsia="宋体" w:cs="宋体"/>
          <w:spacing w:val="6"/>
          <w:sz w:val="28"/>
          <w:szCs w:val="28"/>
        </w:rPr>
        <w:t>和资料。</w:t>
      </w:r>
    </w:p>
    <w:p w14:paraId="57631981">
      <w:pPr>
        <w:spacing w:before="185" w:line="282" w:lineRule="auto"/>
        <w:ind w:left="2" w:firstLine="581"/>
        <w:rPr>
          <w:rFonts w:ascii="宋体" w:hAnsi="宋体" w:eastAsia="宋体" w:cs="宋体"/>
          <w:sz w:val="28"/>
          <w:szCs w:val="28"/>
        </w:rPr>
      </w:pPr>
      <w:r>
        <w:rPr>
          <w:rFonts w:ascii="宋体" w:hAnsi="宋体" w:eastAsia="宋体" w:cs="宋体"/>
          <w:spacing w:val="7"/>
          <w:sz w:val="28"/>
          <w:szCs w:val="28"/>
        </w:rPr>
        <w:t>7）除非另外达成协议并生效，你方的中标通知书和本</w:t>
      </w:r>
      <w:r>
        <w:rPr>
          <w:rFonts w:ascii="宋体" w:hAnsi="宋体" w:eastAsia="宋体" w:cs="宋体"/>
          <w:spacing w:val="6"/>
          <w:sz w:val="28"/>
          <w:szCs w:val="28"/>
        </w:rPr>
        <w:t>投标文件将成为约</w:t>
      </w:r>
      <w:r>
        <w:rPr>
          <w:rFonts w:ascii="宋体" w:hAnsi="宋体" w:eastAsia="宋体" w:cs="宋体"/>
          <w:sz w:val="28"/>
          <w:szCs w:val="28"/>
        </w:rPr>
        <w:t xml:space="preserve"> </w:t>
      </w:r>
      <w:r>
        <w:rPr>
          <w:rFonts w:ascii="宋体" w:hAnsi="宋体" w:eastAsia="宋体" w:cs="宋体"/>
          <w:spacing w:val="6"/>
          <w:sz w:val="28"/>
          <w:szCs w:val="28"/>
        </w:rPr>
        <w:t>束双方的合同文件的组成部分。</w:t>
      </w:r>
    </w:p>
    <w:p w14:paraId="49D4B49B">
      <w:pPr>
        <w:spacing w:before="188" w:line="219" w:lineRule="auto"/>
        <w:ind w:left="578"/>
        <w:rPr>
          <w:rFonts w:ascii="宋体" w:hAnsi="宋体" w:eastAsia="宋体" w:cs="宋体"/>
          <w:sz w:val="28"/>
          <w:szCs w:val="28"/>
        </w:rPr>
      </w:pPr>
      <w:r>
        <w:rPr>
          <w:rFonts w:ascii="宋体" w:hAnsi="宋体" w:eastAsia="宋体" w:cs="宋体"/>
          <w:spacing w:val="6"/>
          <w:sz w:val="28"/>
          <w:szCs w:val="28"/>
        </w:rPr>
        <w:t>8）与本投标有关的一切正式往来通讯为：</w:t>
      </w:r>
    </w:p>
    <w:p w14:paraId="5D43CDEC">
      <w:pPr>
        <w:pStyle w:val="6"/>
        <w:spacing w:line="282" w:lineRule="auto"/>
      </w:pPr>
    </w:p>
    <w:p w14:paraId="5656763F">
      <w:pPr>
        <w:pStyle w:val="6"/>
        <w:spacing w:line="282" w:lineRule="auto"/>
      </w:pPr>
    </w:p>
    <w:p w14:paraId="7BF6E3CE">
      <w:pPr>
        <w:pStyle w:val="6"/>
        <w:spacing w:line="283" w:lineRule="auto"/>
      </w:pPr>
    </w:p>
    <w:p w14:paraId="01CF167E">
      <w:pPr>
        <w:pStyle w:val="6"/>
        <w:spacing w:line="283" w:lineRule="auto"/>
      </w:pPr>
    </w:p>
    <w:p w14:paraId="2F8EA446">
      <w:pPr>
        <w:spacing w:before="92" w:line="328" w:lineRule="auto"/>
        <w:ind w:left="562" w:right="5493" w:hanging="1"/>
        <w:rPr>
          <w:rFonts w:ascii="宋体" w:hAnsi="宋体" w:eastAsia="宋体" w:cs="宋体"/>
          <w:sz w:val="28"/>
          <w:szCs w:val="28"/>
        </w:rPr>
      </w:pPr>
      <w:r>
        <w:rPr>
          <w:rFonts w:ascii="宋体" w:hAnsi="宋体" w:eastAsia="宋体" w:cs="宋体"/>
          <w:spacing w:val="-1"/>
          <w:sz w:val="28"/>
          <w:szCs w:val="28"/>
        </w:rPr>
        <w:t>谈判响应单位名称（公章</w:t>
      </w:r>
      <w:r>
        <w:rPr>
          <w:rFonts w:ascii="宋体" w:hAnsi="宋体" w:eastAsia="宋体" w:cs="宋体"/>
          <w:spacing w:val="-32"/>
          <w:sz w:val="28"/>
          <w:szCs w:val="28"/>
        </w:rPr>
        <w:t>）：</w:t>
      </w:r>
      <w:r>
        <w:rPr>
          <w:rFonts w:ascii="宋体" w:hAnsi="宋体" w:eastAsia="宋体" w:cs="宋体"/>
          <w:sz w:val="28"/>
          <w:szCs w:val="28"/>
        </w:rPr>
        <w:t xml:space="preserve"> </w:t>
      </w:r>
      <w:r>
        <w:rPr>
          <w:rFonts w:ascii="宋体" w:hAnsi="宋体" w:eastAsia="宋体" w:cs="宋体"/>
          <w:spacing w:val="-2"/>
          <w:sz w:val="28"/>
          <w:szCs w:val="28"/>
        </w:rPr>
        <w:t>地址/邮编：</w:t>
      </w:r>
    </w:p>
    <w:p w14:paraId="32C8A340">
      <w:pPr>
        <w:spacing w:before="43" w:line="219" w:lineRule="auto"/>
        <w:ind w:left="595"/>
        <w:rPr>
          <w:rFonts w:ascii="宋体" w:hAnsi="宋体" w:eastAsia="宋体" w:cs="宋体"/>
          <w:sz w:val="28"/>
          <w:szCs w:val="28"/>
        </w:rPr>
      </w:pPr>
      <w:r>
        <w:rPr>
          <w:rFonts w:ascii="宋体" w:hAnsi="宋体" w:eastAsia="宋体" w:cs="宋体"/>
          <w:spacing w:val="-19"/>
          <w:sz w:val="28"/>
          <w:szCs w:val="28"/>
        </w:rPr>
        <w:t>电</w:t>
      </w:r>
      <w:r>
        <w:rPr>
          <w:rFonts w:ascii="宋体" w:hAnsi="宋体" w:eastAsia="宋体" w:cs="宋体"/>
          <w:spacing w:val="2"/>
          <w:sz w:val="28"/>
          <w:szCs w:val="28"/>
        </w:rPr>
        <w:t xml:space="preserve">     </w:t>
      </w:r>
      <w:r>
        <w:rPr>
          <w:rFonts w:ascii="宋体" w:hAnsi="宋体" w:eastAsia="宋体" w:cs="宋体"/>
          <w:spacing w:val="-19"/>
          <w:sz w:val="28"/>
          <w:szCs w:val="28"/>
        </w:rPr>
        <w:t>话</w:t>
      </w:r>
      <w:r>
        <w:rPr>
          <w:rFonts w:ascii="宋体" w:hAnsi="宋体" w:eastAsia="宋体" w:cs="宋体"/>
          <w:spacing w:val="-102"/>
          <w:sz w:val="28"/>
          <w:szCs w:val="28"/>
        </w:rPr>
        <w:t xml:space="preserve"> </w:t>
      </w:r>
      <w:r>
        <w:rPr>
          <w:rFonts w:ascii="宋体" w:hAnsi="宋体" w:eastAsia="宋体" w:cs="宋体"/>
          <w:spacing w:val="-19"/>
          <w:sz w:val="28"/>
          <w:szCs w:val="28"/>
        </w:rPr>
        <w:t>：</w:t>
      </w:r>
      <w:r>
        <w:rPr>
          <w:rFonts w:ascii="宋体" w:hAnsi="宋体" w:eastAsia="宋体" w:cs="宋体"/>
          <w:sz w:val="28"/>
          <w:szCs w:val="28"/>
        </w:rPr>
        <w:t xml:space="preserve">                   </w:t>
      </w:r>
      <w:r>
        <w:rPr>
          <w:rFonts w:ascii="宋体" w:hAnsi="宋体" w:eastAsia="宋体" w:cs="宋体"/>
          <w:spacing w:val="-19"/>
          <w:sz w:val="28"/>
          <w:szCs w:val="28"/>
        </w:rPr>
        <w:t>传</w:t>
      </w:r>
      <w:r>
        <w:rPr>
          <w:rFonts w:ascii="宋体" w:hAnsi="宋体" w:eastAsia="宋体" w:cs="宋体"/>
          <w:spacing w:val="4"/>
          <w:sz w:val="28"/>
          <w:szCs w:val="28"/>
        </w:rPr>
        <w:t xml:space="preserve">     </w:t>
      </w:r>
      <w:r>
        <w:rPr>
          <w:rFonts w:ascii="宋体" w:hAnsi="宋体" w:eastAsia="宋体" w:cs="宋体"/>
          <w:spacing w:val="-19"/>
          <w:sz w:val="28"/>
          <w:szCs w:val="28"/>
        </w:rPr>
        <w:t>真：</w:t>
      </w:r>
    </w:p>
    <w:p w14:paraId="666FB9D9">
      <w:pPr>
        <w:spacing w:before="188" w:line="221" w:lineRule="auto"/>
        <w:ind w:left="563"/>
        <w:rPr>
          <w:rFonts w:ascii="宋体" w:hAnsi="宋体" w:eastAsia="宋体" w:cs="宋体"/>
          <w:sz w:val="28"/>
          <w:szCs w:val="28"/>
        </w:rPr>
      </w:pPr>
      <w:r>
        <w:rPr>
          <w:rFonts w:ascii="宋体" w:hAnsi="宋体" w:eastAsia="宋体" w:cs="宋体"/>
          <w:spacing w:val="-6"/>
          <w:sz w:val="28"/>
          <w:szCs w:val="28"/>
        </w:rPr>
        <w:t>开户银行：</w:t>
      </w:r>
      <w:r>
        <w:rPr>
          <w:rFonts w:ascii="宋体" w:hAnsi="宋体" w:eastAsia="宋体" w:cs="宋体"/>
          <w:sz w:val="28"/>
          <w:szCs w:val="28"/>
        </w:rPr>
        <w:t xml:space="preserve">                    </w:t>
      </w:r>
      <w:r>
        <w:rPr>
          <w:rFonts w:ascii="宋体" w:hAnsi="宋体" w:eastAsia="宋体" w:cs="宋体"/>
          <w:spacing w:val="-6"/>
          <w:sz w:val="28"/>
          <w:szCs w:val="28"/>
        </w:rPr>
        <w:t>账</w:t>
      </w:r>
      <w:r>
        <w:rPr>
          <w:rFonts w:ascii="宋体" w:hAnsi="宋体" w:eastAsia="宋体" w:cs="宋体"/>
          <w:spacing w:val="7"/>
          <w:sz w:val="28"/>
          <w:szCs w:val="28"/>
        </w:rPr>
        <w:t xml:space="preserve">     </w:t>
      </w:r>
      <w:r>
        <w:rPr>
          <w:rFonts w:ascii="宋体" w:hAnsi="宋体" w:eastAsia="宋体" w:cs="宋体"/>
          <w:spacing w:val="-6"/>
          <w:sz w:val="28"/>
          <w:szCs w:val="28"/>
        </w:rPr>
        <w:t>号：</w:t>
      </w:r>
    </w:p>
    <w:p w14:paraId="16A39F92">
      <w:pPr>
        <w:spacing w:before="184" w:line="219" w:lineRule="auto"/>
        <w:ind w:left="563"/>
        <w:rPr>
          <w:rFonts w:ascii="宋体" w:hAnsi="宋体" w:eastAsia="宋体" w:cs="宋体"/>
          <w:sz w:val="28"/>
          <w:szCs w:val="28"/>
        </w:rPr>
      </w:pPr>
      <w:r>
        <w:rPr>
          <w:rFonts w:ascii="宋体" w:hAnsi="宋体" w:eastAsia="宋体" w:cs="宋体"/>
          <w:spacing w:val="-1"/>
          <w:sz w:val="28"/>
          <w:szCs w:val="28"/>
        </w:rPr>
        <w:t>法定代表人或委托代理人（签名或盖章</w:t>
      </w:r>
      <w:r>
        <w:rPr>
          <w:rFonts w:ascii="宋体" w:hAnsi="宋体" w:eastAsia="宋体" w:cs="宋体"/>
          <w:spacing w:val="1"/>
          <w:sz w:val="28"/>
          <w:szCs w:val="28"/>
        </w:rPr>
        <w:t>）：</w:t>
      </w:r>
    </w:p>
    <w:p w14:paraId="593A6A05">
      <w:pPr>
        <w:spacing w:before="188" w:line="220" w:lineRule="auto"/>
        <w:ind w:left="611"/>
        <w:rPr>
          <w:rFonts w:ascii="宋体" w:hAnsi="宋体" w:eastAsia="宋体" w:cs="宋体"/>
          <w:sz w:val="28"/>
          <w:szCs w:val="28"/>
        </w:rPr>
      </w:pPr>
      <w:r>
        <w:rPr>
          <w:rFonts w:ascii="宋体" w:hAnsi="宋体" w:eastAsia="宋体" w:cs="宋体"/>
          <w:spacing w:val="-17"/>
          <w:sz w:val="28"/>
          <w:szCs w:val="28"/>
        </w:rPr>
        <w:t>日</w:t>
      </w:r>
      <w:r>
        <w:rPr>
          <w:rFonts w:ascii="宋体" w:hAnsi="宋体" w:eastAsia="宋体" w:cs="宋体"/>
          <w:spacing w:val="2"/>
          <w:sz w:val="28"/>
          <w:szCs w:val="28"/>
        </w:rPr>
        <w:t xml:space="preserve">     </w:t>
      </w:r>
      <w:r>
        <w:rPr>
          <w:rFonts w:ascii="宋体" w:hAnsi="宋体" w:eastAsia="宋体" w:cs="宋体"/>
          <w:spacing w:val="-17"/>
          <w:sz w:val="28"/>
          <w:szCs w:val="28"/>
        </w:rPr>
        <w:t>期：</w:t>
      </w:r>
      <w:r>
        <w:rPr>
          <w:rFonts w:ascii="宋体" w:hAnsi="宋体" w:eastAsia="宋体" w:cs="宋体"/>
          <w:spacing w:val="3"/>
          <w:sz w:val="28"/>
          <w:szCs w:val="28"/>
        </w:rPr>
        <w:t xml:space="preserve">     </w:t>
      </w:r>
      <w:r>
        <w:rPr>
          <w:rFonts w:ascii="宋体" w:hAnsi="宋体" w:eastAsia="宋体" w:cs="宋体"/>
          <w:spacing w:val="-17"/>
          <w:sz w:val="28"/>
          <w:szCs w:val="28"/>
        </w:rPr>
        <w:t>年</w:t>
      </w:r>
      <w:r>
        <w:rPr>
          <w:rFonts w:ascii="宋体" w:hAnsi="宋体" w:eastAsia="宋体" w:cs="宋体"/>
          <w:spacing w:val="5"/>
          <w:sz w:val="28"/>
          <w:szCs w:val="28"/>
        </w:rPr>
        <w:t xml:space="preserve">   </w:t>
      </w:r>
      <w:r>
        <w:rPr>
          <w:rFonts w:ascii="宋体" w:hAnsi="宋体" w:eastAsia="宋体" w:cs="宋体"/>
          <w:spacing w:val="-17"/>
          <w:sz w:val="28"/>
          <w:szCs w:val="28"/>
        </w:rPr>
        <w:t>月</w:t>
      </w:r>
      <w:r>
        <w:rPr>
          <w:rFonts w:ascii="宋体" w:hAnsi="宋体" w:eastAsia="宋体" w:cs="宋体"/>
          <w:spacing w:val="30"/>
          <w:sz w:val="28"/>
          <w:szCs w:val="28"/>
        </w:rPr>
        <w:t xml:space="preserve">  </w:t>
      </w:r>
      <w:r>
        <w:rPr>
          <w:rFonts w:ascii="宋体" w:hAnsi="宋体" w:eastAsia="宋体" w:cs="宋体"/>
          <w:spacing w:val="-17"/>
          <w:sz w:val="28"/>
          <w:szCs w:val="28"/>
        </w:rPr>
        <w:t>日</w:t>
      </w:r>
    </w:p>
    <w:p w14:paraId="5AB464F0">
      <w:pPr>
        <w:spacing w:line="220" w:lineRule="auto"/>
        <w:rPr>
          <w:rFonts w:ascii="宋体" w:hAnsi="宋体" w:eastAsia="宋体" w:cs="宋体"/>
          <w:sz w:val="28"/>
          <w:szCs w:val="28"/>
        </w:rPr>
        <w:sectPr>
          <w:footerReference r:id="rId15" w:type="default"/>
          <w:pgSz w:w="11906" w:h="16839"/>
          <w:pgMar w:top="1431" w:right="1141" w:bottom="1362" w:left="1142" w:header="0" w:footer="1200" w:gutter="0"/>
          <w:cols w:space="720" w:num="1"/>
        </w:sectPr>
      </w:pPr>
    </w:p>
    <w:p w14:paraId="010A75F4">
      <w:pPr>
        <w:spacing w:before="232" w:line="224" w:lineRule="auto"/>
        <w:ind w:left="2899"/>
        <w:rPr>
          <w:rFonts w:ascii="宋体" w:hAnsi="宋体" w:eastAsia="宋体" w:cs="宋体"/>
          <w:sz w:val="31"/>
          <w:szCs w:val="31"/>
        </w:rPr>
      </w:pPr>
      <w:r>
        <w:rPr>
          <w:rFonts w:ascii="宋体" w:hAnsi="宋体" w:eastAsia="宋体" w:cs="宋体"/>
          <w:b/>
          <w:bCs/>
          <w:spacing w:val="6"/>
          <w:sz w:val="31"/>
          <w:szCs w:val="31"/>
        </w:rPr>
        <w:t>二、法定代表人授权委托书</w:t>
      </w:r>
    </w:p>
    <w:p w14:paraId="54B41DF8">
      <w:pPr>
        <w:pStyle w:val="6"/>
        <w:spacing w:line="336" w:lineRule="auto"/>
      </w:pPr>
    </w:p>
    <w:p w14:paraId="10325FC8">
      <w:pPr>
        <w:pStyle w:val="6"/>
        <w:spacing w:line="336" w:lineRule="auto"/>
      </w:pPr>
    </w:p>
    <w:p w14:paraId="16AEE697">
      <w:pPr>
        <w:spacing w:before="91" w:line="220" w:lineRule="auto"/>
        <w:ind w:left="1"/>
        <w:rPr>
          <w:rFonts w:ascii="宋体" w:hAnsi="宋体" w:eastAsia="宋体" w:cs="宋体"/>
          <w:sz w:val="28"/>
          <w:szCs w:val="28"/>
        </w:rPr>
      </w:pPr>
      <w:r>
        <w:rPr>
          <w:rFonts w:ascii="宋体" w:hAnsi="宋体" w:eastAsia="宋体" w:cs="宋体"/>
          <w:sz w:val="28"/>
          <w:szCs w:val="28"/>
        </w:rPr>
        <w:t>致：</w:t>
      </w:r>
      <w:r>
        <w:rPr>
          <w:rFonts w:ascii="宋体" w:hAnsi="宋体" w:eastAsia="宋体" w:cs="宋体"/>
          <w:sz w:val="28"/>
          <w:szCs w:val="28"/>
          <w:u w:val="single" w:color="auto"/>
        </w:rPr>
        <w:t>陕西燃气集团工程有限公司</w:t>
      </w:r>
    </w:p>
    <w:p w14:paraId="762B35D0">
      <w:pPr>
        <w:spacing w:before="300" w:line="408" w:lineRule="auto"/>
        <w:ind w:firstLine="626"/>
        <w:jc w:val="both"/>
        <w:rPr>
          <w:rFonts w:ascii="宋体" w:hAnsi="宋体" w:eastAsia="宋体" w:cs="宋体"/>
          <w:sz w:val="28"/>
          <w:szCs w:val="28"/>
        </w:rPr>
      </w:pPr>
      <w:r>
        <w:rPr>
          <w:rFonts w:ascii="宋体" w:hAnsi="宋体" w:eastAsia="宋体" w:cs="宋体"/>
          <w:color w:val="auto"/>
          <w:spacing w:val="-1"/>
          <w:sz w:val="28"/>
          <w:szCs w:val="28"/>
          <w:u w:val="single" w:color="auto"/>
        </w:rPr>
        <w:t>(投标人名称)</w:t>
      </w:r>
      <w:r>
        <w:rPr>
          <w:rFonts w:ascii="宋体" w:hAnsi="宋体" w:eastAsia="宋体" w:cs="宋体"/>
          <w:color w:val="auto"/>
          <w:spacing w:val="-1"/>
          <w:sz w:val="28"/>
          <w:szCs w:val="28"/>
        </w:rPr>
        <w:t>按中华人民共和国法律于</w:t>
      </w:r>
      <w:r>
        <w:rPr>
          <w:rFonts w:ascii="宋体" w:hAnsi="宋体" w:eastAsia="宋体" w:cs="宋体"/>
          <w:color w:val="auto"/>
          <w:spacing w:val="-1"/>
          <w:sz w:val="28"/>
          <w:szCs w:val="28"/>
          <w:u w:val="single" w:color="auto"/>
        </w:rPr>
        <w:t>（</w:t>
      </w:r>
      <w:r>
        <w:rPr>
          <w:rFonts w:ascii="宋体" w:hAnsi="宋体" w:eastAsia="宋体" w:cs="宋体"/>
          <w:color w:val="auto"/>
          <w:spacing w:val="43"/>
          <w:sz w:val="28"/>
          <w:szCs w:val="28"/>
          <w:u w:val="single" w:color="auto"/>
        </w:rPr>
        <w:t xml:space="preserve">  </w:t>
      </w:r>
      <w:r>
        <w:rPr>
          <w:rFonts w:ascii="宋体" w:hAnsi="宋体" w:eastAsia="宋体" w:cs="宋体"/>
          <w:color w:val="auto"/>
          <w:spacing w:val="-1"/>
          <w:sz w:val="28"/>
          <w:szCs w:val="28"/>
          <w:u w:val="single" w:color="auto"/>
        </w:rPr>
        <w:t>年  月   日</w:t>
      </w:r>
      <w:r>
        <w:rPr>
          <w:rFonts w:ascii="宋体" w:hAnsi="宋体" w:eastAsia="宋体" w:cs="宋体"/>
          <w:color w:val="auto"/>
          <w:spacing w:val="61"/>
          <w:sz w:val="28"/>
          <w:szCs w:val="28"/>
          <w:u w:val="single" w:color="auto"/>
        </w:rPr>
        <w:t xml:space="preserve"> </w:t>
      </w:r>
      <w:r>
        <w:rPr>
          <w:rFonts w:ascii="宋体" w:hAnsi="宋体" w:eastAsia="宋体" w:cs="宋体"/>
          <w:color w:val="auto"/>
          <w:spacing w:val="-1"/>
          <w:sz w:val="28"/>
          <w:szCs w:val="28"/>
          <w:u w:val="single" w:color="auto"/>
        </w:rPr>
        <w:t>）</w:t>
      </w:r>
      <w:r>
        <w:rPr>
          <w:rFonts w:ascii="宋体" w:hAnsi="宋体" w:eastAsia="宋体" w:cs="宋体"/>
          <w:color w:val="auto"/>
          <w:spacing w:val="-1"/>
          <w:sz w:val="28"/>
          <w:szCs w:val="28"/>
        </w:rPr>
        <w:t>成立。</w:t>
      </w:r>
      <w:r>
        <w:rPr>
          <w:rFonts w:ascii="宋体" w:hAnsi="宋体" w:eastAsia="宋体" w:cs="宋体"/>
          <w:color w:val="auto"/>
          <w:spacing w:val="-80"/>
          <w:sz w:val="28"/>
          <w:szCs w:val="28"/>
          <w:u w:val="single" w:color="auto"/>
        </w:rPr>
        <w:t xml:space="preserve"> </w:t>
      </w:r>
      <w:r>
        <w:rPr>
          <w:rFonts w:ascii="宋体" w:hAnsi="宋体" w:eastAsia="宋体" w:cs="宋体"/>
          <w:color w:val="auto"/>
          <w:spacing w:val="-1"/>
          <w:sz w:val="28"/>
          <w:szCs w:val="28"/>
          <w:u w:val="single" w:color="auto"/>
        </w:rPr>
        <w:t>(法定</w:t>
      </w:r>
      <w:r>
        <w:rPr>
          <w:rFonts w:ascii="宋体" w:hAnsi="宋体" w:eastAsia="宋体" w:cs="宋体"/>
          <w:color w:val="auto"/>
          <w:sz w:val="28"/>
          <w:szCs w:val="28"/>
        </w:rPr>
        <w:t xml:space="preserve"> </w:t>
      </w:r>
      <w:r>
        <w:rPr>
          <w:rFonts w:ascii="宋体" w:hAnsi="宋体" w:eastAsia="宋体" w:cs="宋体"/>
          <w:color w:val="auto"/>
          <w:sz w:val="28"/>
          <w:szCs w:val="28"/>
          <w:u w:val="single" w:color="auto"/>
        </w:rPr>
        <w:t>代表人姓名)</w:t>
      </w:r>
      <w:r>
        <w:rPr>
          <w:rFonts w:ascii="宋体" w:hAnsi="宋体" w:eastAsia="宋体" w:cs="宋体"/>
          <w:color w:val="auto"/>
          <w:sz w:val="28"/>
          <w:szCs w:val="28"/>
        </w:rPr>
        <w:t>特授权</w:t>
      </w:r>
      <w:r>
        <w:rPr>
          <w:rFonts w:ascii="宋体" w:hAnsi="宋体" w:eastAsia="宋体" w:cs="宋体"/>
          <w:color w:val="auto"/>
          <w:sz w:val="28"/>
          <w:szCs w:val="28"/>
          <w:u w:val="single" w:color="auto"/>
        </w:rPr>
        <w:t>（ 被授权人姓名 ）</w:t>
      </w:r>
      <w:r>
        <w:rPr>
          <w:rFonts w:ascii="宋体" w:hAnsi="宋体" w:eastAsia="宋体" w:cs="宋体"/>
          <w:color w:val="auto"/>
          <w:sz w:val="28"/>
          <w:szCs w:val="28"/>
        </w:rPr>
        <w:t xml:space="preserve">代表我公司全权办理针对本次 </w:t>
      </w:r>
      <w:r>
        <w:rPr>
          <w:rFonts w:hint="eastAsia" w:ascii="宋体" w:hAnsi="宋体" w:eastAsia="宋体" w:cs="宋体"/>
          <w:color w:val="auto"/>
          <w:spacing w:val="4"/>
          <w:sz w:val="28"/>
          <w:szCs w:val="28"/>
          <w:u w:val="single" w:color="auto"/>
          <w:lang w:eastAsia="zh-CN"/>
        </w:rPr>
        <w:t>陇漳岷天然气长输管道输配工程（陇漳段）项目</w:t>
      </w:r>
      <w:r>
        <w:rPr>
          <w:rFonts w:hint="eastAsia" w:ascii="宋体" w:hAnsi="宋体" w:eastAsia="宋体" w:cs="宋体"/>
          <w:color w:val="auto"/>
          <w:spacing w:val="-2"/>
          <w:sz w:val="28"/>
          <w:szCs w:val="28"/>
          <w:u w:val="single" w:color="auto"/>
          <w:lang w:eastAsia="zh-CN"/>
        </w:rPr>
        <w:t>（Ⅱ标段）</w:t>
      </w:r>
      <w:r>
        <w:rPr>
          <w:rFonts w:hint="eastAsia" w:ascii="宋体" w:hAnsi="宋体" w:eastAsia="宋体" w:cs="宋体"/>
          <w:color w:val="auto"/>
          <w:spacing w:val="-2"/>
          <w:sz w:val="28"/>
          <w:szCs w:val="28"/>
          <w:u w:val="single" w:color="auto"/>
          <w:lang w:val="en-US" w:eastAsia="zh-CN"/>
        </w:rPr>
        <w:t>施工</w:t>
      </w:r>
      <w:r>
        <w:rPr>
          <w:rFonts w:hint="eastAsia" w:ascii="宋体" w:hAnsi="宋体" w:eastAsia="宋体" w:cs="宋体"/>
          <w:color w:val="auto"/>
          <w:spacing w:val="-2"/>
          <w:sz w:val="28"/>
          <w:szCs w:val="28"/>
          <w:u w:val="single" w:color="auto"/>
          <w:lang w:eastAsia="zh-CN"/>
        </w:rPr>
        <w:t>劳务分包</w:t>
      </w:r>
      <w:r>
        <w:rPr>
          <w:rFonts w:ascii="宋体" w:hAnsi="宋体" w:eastAsia="宋体" w:cs="宋体"/>
          <w:color w:val="auto"/>
          <w:spacing w:val="-3"/>
          <w:sz w:val="28"/>
          <w:szCs w:val="28"/>
          <w:u w:val="single" w:color="auto"/>
        </w:rPr>
        <w:t xml:space="preserve"> </w:t>
      </w:r>
      <w:r>
        <w:rPr>
          <w:rFonts w:ascii="宋体" w:hAnsi="宋体" w:eastAsia="宋体" w:cs="宋体"/>
          <w:spacing w:val="-3"/>
          <w:sz w:val="28"/>
          <w:szCs w:val="28"/>
        </w:rPr>
        <w:t>的投标、签约</w:t>
      </w:r>
      <w:r>
        <w:rPr>
          <w:rFonts w:ascii="宋体" w:hAnsi="宋体" w:eastAsia="宋体" w:cs="宋体"/>
          <w:sz w:val="28"/>
          <w:szCs w:val="28"/>
        </w:rPr>
        <w:t xml:space="preserve"> </w:t>
      </w:r>
      <w:r>
        <w:rPr>
          <w:rFonts w:ascii="宋体" w:hAnsi="宋体" w:eastAsia="宋体" w:cs="宋体"/>
          <w:spacing w:val="7"/>
          <w:sz w:val="28"/>
          <w:szCs w:val="28"/>
        </w:rPr>
        <w:t>等具体工作，并签署全部有关的文件、协议及</w:t>
      </w:r>
      <w:r>
        <w:rPr>
          <w:rFonts w:ascii="宋体" w:hAnsi="宋体" w:eastAsia="宋体" w:cs="宋体"/>
          <w:spacing w:val="6"/>
          <w:sz w:val="28"/>
          <w:szCs w:val="28"/>
        </w:rPr>
        <w:t>合同。</w:t>
      </w:r>
    </w:p>
    <w:p w14:paraId="64CA6DFB">
      <w:pPr>
        <w:spacing w:before="42" w:line="220" w:lineRule="auto"/>
        <w:ind w:left="579"/>
        <w:rPr>
          <w:rFonts w:ascii="宋体" w:hAnsi="宋体" w:eastAsia="宋体" w:cs="宋体"/>
          <w:sz w:val="28"/>
          <w:szCs w:val="28"/>
        </w:rPr>
      </w:pPr>
      <w:r>
        <w:rPr>
          <w:rFonts w:ascii="宋体" w:hAnsi="宋体" w:eastAsia="宋体" w:cs="宋体"/>
          <w:spacing w:val="6"/>
          <w:sz w:val="28"/>
          <w:szCs w:val="28"/>
        </w:rPr>
        <w:t>我公司对被授权人的签名负全部责任。</w:t>
      </w:r>
    </w:p>
    <w:p w14:paraId="69D1B28A">
      <w:pPr>
        <w:spacing w:before="295" w:line="220" w:lineRule="auto"/>
        <w:ind w:left="561"/>
        <w:rPr>
          <w:rFonts w:ascii="宋体" w:hAnsi="宋体" w:eastAsia="宋体" w:cs="宋体"/>
          <w:sz w:val="28"/>
          <w:szCs w:val="28"/>
        </w:rPr>
      </w:pPr>
      <w:r>
        <w:rPr>
          <w:rFonts w:ascii="宋体" w:hAnsi="宋体" w:eastAsia="宋体" w:cs="宋体"/>
          <w:spacing w:val="-7"/>
          <w:sz w:val="28"/>
          <w:szCs w:val="28"/>
        </w:rPr>
        <w:t>委托期限：自</w:t>
      </w:r>
      <w:r>
        <w:rPr>
          <w:rFonts w:ascii="宋体" w:hAnsi="宋体" w:eastAsia="宋体" w:cs="宋体"/>
          <w:spacing w:val="-7"/>
          <w:sz w:val="28"/>
          <w:szCs w:val="28"/>
          <w:u w:val="single" w:color="auto"/>
        </w:rPr>
        <w:t xml:space="preserve">   年</w:t>
      </w:r>
      <w:r>
        <w:rPr>
          <w:rFonts w:ascii="宋体" w:hAnsi="宋体" w:eastAsia="宋体" w:cs="宋体"/>
          <w:spacing w:val="5"/>
          <w:sz w:val="28"/>
          <w:szCs w:val="28"/>
          <w:u w:val="single" w:color="auto"/>
        </w:rPr>
        <w:t xml:space="preserve">   </w:t>
      </w:r>
      <w:r>
        <w:rPr>
          <w:rFonts w:ascii="宋体" w:hAnsi="宋体" w:eastAsia="宋体" w:cs="宋体"/>
          <w:spacing w:val="-7"/>
          <w:sz w:val="28"/>
          <w:szCs w:val="28"/>
          <w:u w:val="single" w:color="auto"/>
        </w:rPr>
        <w:t>月</w:t>
      </w:r>
      <w:r>
        <w:rPr>
          <w:rFonts w:ascii="宋体" w:hAnsi="宋体" w:eastAsia="宋体" w:cs="宋体"/>
          <w:spacing w:val="19"/>
          <w:sz w:val="28"/>
          <w:szCs w:val="28"/>
          <w:u w:val="single" w:color="auto"/>
        </w:rPr>
        <w:t xml:space="preserve">   </w:t>
      </w:r>
      <w:r>
        <w:rPr>
          <w:rFonts w:ascii="宋体" w:hAnsi="宋体" w:eastAsia="宋体" w:cs="宋体"/>
          <w:spacing w:val="-7"/>
          <w:sz w:val="28"/>
          <w:szCs w:val="28"/>
          <w:u w:val="single" w:color="auto"/>
        </w:rPr>
        <w:t>日</w:t>
      </w:r>
      <w:r>
        <w:rPr>
          <w:rFonts w:ascii="宋体" w:hAnsi="宋体" w:eastAsia="宋体" w:cs="宋体"/>
          <w:spacing w:val="-7"/>
          <w:sz w:val="28"/>
          <w:szCs w:val="28"/>
        </w:rPr>
        <w:t>至</w:t>
      </w:r>
      <w:r>
        <w:rPr>
          <w:rFonts w:ascii="宋体" w:hAnsi="宋体" w:eastAsia="宋体" w:cs="宋体"/>
          <w:spacing w:val="3"/>
          <w:sz w:val="28"/>
          <w:szCs w:val="28"/>
          <w:u w:val="single" w:color="auto"/>
        </w:rPr>
        <w:t xml:space="preserve">    </w:t>
      </w:r>
      <w:r>
        <w:rPr>
          <w:rFonts w:ascii="宋体" w:hAnsi="宋体" w:eastAsia="宋体" w:cs="宋体"/>
          <w:spacing w:val="-7"/>
          <w:sz w:val="28"/>
          <w:szCs w:val="28"/>
          <w:u w:val="single" w:color="auto"/>
        </w:rPr>
        <w:t>年</w:t>
      </w:r>
      <w:r>
        <w:rPr>
          <w:rFonts w:ascii="宋体" w:hAnsi="宋体" w:eastAsia="宋体" w:cs="宋体"/>
          <w:spacing w:val="5"/>
          <w:sz w:val="28"/>
          <w:szCs w:val="28"/>
          <w:u w:val="single" w:color="auto"/>
        </w:rPr>
        <w:t xml:space="preserve">   </w:t>
      </w:r>
      <w:r>
        <w:rPr>
          <w:rFonts w:ascii="宋体" w:hAnsi="宋体" w:eastAsia="宋体" w:cs="宋体"/>
          <w:spacing w:val="-7"/>
          <w:sz w:val="28"/>
          <w:szCs w:val="28"/>
          <w:u w:val="single" w:color="auto"/>
        </w:rPr>
        <w:t>月</w:t>
      </w:r>
      <w:r>
        <w:rPr>
          <w:rFonts w:ascii="宋体" w:hAnsi="宋体" w:eastAsia="宋体" w:cs="宋体"/>
          <w:spacing w:val="20"/>
          <w:sz w:val="28"/>
          <w:szCs w:val="28"/>
          <w:u w:val="single" w:color="auto"/>
        </w:rPr>
        <w:t xml:space="preserve">   </w:t>
      </w:r>
      <w:r>
        <w:rPr>
          <w:rFonts w:ascii="宋体" w:hAnsi="宋体" w:eastAsia="宋体" w:cs="宋体"/>
          <w:spacing w:val="-7"/>
          <w:sz w:val="28"/>
          <w:szCs w:val="28"/>
          <w:u w:val="single" w:color="auto"/>
        </w:rPr>
        <w:t>日</w:t>
      </w:r>
    </w:p>
    <w:p w14:paraId="2F4B67F9">
      <w:pPr>
        <w:spacing w:before="297" w:line="219" w:lineRule="auto"/>
        <w:ind w:left="578"/>
        <w:rPr>
          <w:rFonts w:ascii="宋体" w:hAnsi="宋体" w:eastAsia="宋体" w:cs="宋体"/>
          <w:sz w:val="28"/>
          <w:szCs w:val="28"/>
        </w:rPr>
      </w:pPr>
      <w:r>
        <w:rPr>
          <w:rFonts w:ascii="宋体" w:hAnsi="宋体" w:eastAsia="宋体" w:cs="宋体"/>
          <w:spacing w:val="-1"/>
          <w:sz w:val="28"/>
          <w:szCs w:val="28"/>
        </w:rPr>
        <w:t>本授权书于</w:t>
      </w:r>
      <w:r>
        <w:rPr>
          <w:rFonts w:ascii="宋体" w:hAnsi="宋体" w:eastAsia="宋体" w:cs="宋体"/>
          <w:spacing w:val="-128"/>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
          <w:sz w:val="28"/>
          <w:szCs w:val="28"/>
          <w:u w:val="single" w:color="auto"/>
        </w:rPr>
        <w:t>年</w:t>
      </w:r>
      <w:r>
        <w:rPr>
          <w:rFonts w:ascii="宋体" w:hAnsi="宋体" w:eastAsia="宋体" w:cs="宋体"/>
          <w:spacing w:val="16"/>
          <w:sz w:val="28"/>
          <w:szCs w:val="28"/>
          <w:u w:val="single" w:color="auto"/>
        </w:rPr>
        <w:t xml:space="preserve">   </w:t>
      </w:r>
      <w:r>
        <w:rPr>
          <w:rFonts w:ascii="宋体" w:hAnsi="宋体" w:eastAsia="宋体" w:cs="宋体"/>
          <w:spacing w:val="-1"/>
          <w:sz w:val="28"/>
          <w:szCs w:val="28"/>
          <w:u w:val="single" w:color="auto"/>
        </w:rPr>
        <w:t>月</w:t>
      </w:r>
      <w:r>
        <w:rPr>
          <w:rFonts w:ascii="宋体" w:hAnsi="宋体" w:eastAsia="宋体" w:cs="宋体"/>
          <w:spacing w:val="30"/>
          <w:sz w:val="28"/>
          <w:szCs w:val="28"/>
          <w:u w:val="single" w:color="auto"/>
        </w:rPr>
        <w:t xml:space="preserve">   </w:t>
      </w:r>
      <w:r>
        <w:rPr>
          <w:rFonts w:ascii="宋体" w:hAnsi="宋体" w:eastAsia="宋体" w:cs="宋体"/>
          <w:spacing w:val="-1"/>
          <w:sz w:val="28"/>
          <w:szCs w:val="28"/>
          <w:u w:val="single" w:color="auto"/>
        </w:rPr>
        <w:t>日</w:t>
      </w:r>
      <w:r>
        <w:rPr>
          <w:rFonts w:ascii="宋体" w:hAnsi="宋体" w:eastAsia="宋体" w:cs="宋体"/>
          <w:spacing w:val="-132"/>
          <w:sz w:val="28"/>
          <w:szCs w:val="28"/>
          <w:u w:val="single" w:color="auto"/>
        </w:rPr>
        <w:t xml:space="preserve"> </w:t>
      </w:r>
      <w:r>
        <w:rPr>
          <w:rFonts w:ascii="宋体" w:hAnsi="宋体" w:eastAsia="宋体" w:cs="宋体"/>
          <w:spacing w:val="-129"/>
          <w:sz w:val="28"/>
          <w:szCs w:val="28"/>
        </w:rPr>
        <w:t xml:space="preserve"> </w:t>
      </w:r>
      <w:r>
        <w:rPr>
          <w:rFonts w:ascii="宋体" w:hAnsi="宋体" w:eastAsia="宋体" w:cs="宋体"/>
          <w:spacing w:val="-1"/>
          <w:sz w:val="28"/>
          <w:szCs w:val="28"/>
        </w:rPr>
        <w:t>签字生效，特此证明。</w:t>
      </w:r>
    </w:p>
    <w:p w14:paraId="38EC6EF7">
      <w:pPr>
        <w:pStyle w:val="6"/>
        <w:spacing w:line="277" w:lineRule="auto"/>
      </w:pPr>
    </w:p>
    <w:p w14:paraId="7AE1B12E">
      <w:pPr>
        <w:pStyle w:val="6"/>
        <w:spacing w:line="277" w:lineRule="auto"/>
      </w:pPr>
    </w:p>
    <w:p w14:paraId="29D56C22">
      <w:pPr>
        <w:pStyle w:val="6"/>
        <w:spacing w:line="277" w:lineRule="auto"/>
      </w:pPr>
    </w:p>
    <w:p w14:paraId="59CC4868">
      <w:pPr>
        <w:spacing w:before="92" w:line="219" w:lineRule="auto"/>
        <w:ind w:left="635"/>
        <w:rPr>
          <w:rFonts w:ascii="宋体" w:hAnsi="宋体" w:eastAsia="宋体" w:cs="宋体"/>
          <w:sz w:val="28"/>
          <w:szCs w:val="28"/>
        </w:rPr>
      </w:pPr>
      <w:r>
        <w:rPr>
          <w:rFonts w:ascii="宋体" w:hAnsi="宋体" w:eastAsia="宋体" w:cs="宋体"/>
          <w:spacing w:val="5"/>
          <w:sz w:val="28"/>
          <w:szCs w:val="28"/>
        </w:rPr>
        <w:t>法定代表人签字或盖章：</w:t>
      </w:r>
      <w:r>
        <w:rPr>
          <w:rFonts w:ascii="宋体" w:hAnsi="宋体" w:eastAsia="宋体" w:cs="宋体"/>
          <w:spacing w:val="3"/>
          <w:sz w:val="28"/>
          <w:szCs w:val="28"/>
        </w:rPr>
        <w:t xml:space="preserve">        </w:t>
      </w:r>
      <w:r>
        <w:rPr>
          <w:rFonts w:ascii="宋体" w:hAnsi="宋体" w:eastAsia="宋体" w:cs="宋体"/>
          <w:spacing w:val="5"/>
          <w:sz w:val="28"/>
          <w:szCs w:val="28"/>
        </w:rPr>
        <w:t>被授权人签字或盖章：</w:t>
      </w:r>
    </w:p>
    <w:p w14:paraId="05759123">
      <w:pPr>
        <w:spacing w:before="296" w:line="220" w:lineRule="auto"/>
        <w:ind w:left="635"/>
        <w:rPr>
          <w:rFonts w:ascii="宋体" w:hAnsi="宋体" w:eastAsia="宋体" w:cs="宋体"/>
          <w:sz w:val="28"/>
          <w:szCs w:val="28"/>
        </w:rPr>
      </w:pPr>
      <w:r>
        <w:rPr>
          <w:rFonts w:ascii="宋体" w:hAnsi="宋体" w:eastAsia="宋体" w:cs="宋体"/>
          <w:spacing w:val="-2"/>
          <w:sz w:val="28"/>
          <w:szCs w:val="28"/>
        </w:rPr>
        <w:t>职务：</w:t>
      </w:r>
      <w:r>
        <w:rPr>
          <w:rFonts w:ascii="宋体" w:hAnsi="宋体" w:eastAsia="宋体" w:cs="宋体"/>
          <w:spacing w:val="3"/>
          <w:sz w:val="28"/>
          <w:szCs w:val="28"/>
        </w:rPr>
        <w:t xml:space="preserve">                        </w:t>
      </w:r>
      <w:r>
        <w:rPr>
          <w:rFonts w:ascii="宋体" w:hAnsi="宋体" w:eastAsia="宋体" w:cs="宋体"/>
          <w:spacing w:val="-2"/>
          <w:sz w:val="28"/>
          <w:szCs w:val="28"/>
        </w:rPr>
        <w:t>职务：</w:t>
      </w:r>
    </w:p>
    <w:p w14:paraId="76F9596C">
      <w:pPr>
        <w:spacing w:before="297" w:line="220" w:lineRule="auto"/>
        <w:ind w:left="642"/>
        <w:rPr>
          <w:rFonts w:ascii="宋体" w:hAnsi="宋体" w:eastAsia="宋体" w:cs="宋体"/>
          <w:sz w:val="28"/>
          <w:szCs w:val="28"/>
        </w:rPr>
      </w:pPr>
      <w:r>
        <w:rPr>
          <w:rFonts w:ascii="宋体" w:hAnsi="宋体" w:eastAsia="宋体" w:cs="宋体"/>
          <w:spacing w:val="1"/>
          <w:sz w:val="28"/>
          <w:szCs w:val="28"/>
        </w:rPr>
        <w:t>身份证号：</w:t>
      </w:r>
      <w:r>
        <w:rPr>
          <w:rFonts w:ascii="宋体" w:hAnsi="宋体" w:eastAsia="宋体" w:cs="宋体"/>
          <w:spacing w:val="3"/>
          <w:sz w:val="28"/>
          <w:szCs w:val="28"/>
        </w:rPr>
        <w:t xml:space="preserve">                    </w:t>
      </w:r>
      <w:r>
        <w:rPr>
          <w:rFonts w:ascii="宋体" w:hAnsi="宋体" w:eastAsia="宋体" w:cs="宋体"/>
          <w:spacing w:val="1"/>
          <w:sz w:val="28"/>
          <w:szCs w:val="28"/>
        </w:rPr>
        <w:t>身份证号：</w:t>
      </w:r>
    </w:p>
    <w:p w14:paraId="4BCEA723">
      <w:pPr>
        <w:spacing w:before="296" w:line="220" w:lineRule="auto"/>
        <w:ind w:left="4913"/>
        <w:rPr>
          <w:rFonts w:ascii="宋体" w:hAnsi="宋体" w:eastAsia="宋体" w:cs="宋体"/>
          <w:sz w:val="28"/>
          <w:szCs w:val="28"/>
        </w:rPr>
      </w:pPr>
      <w:r>
        <w:rPr>
          <w:rFonts w:ascii="宋体" w:hAnsi="宋体" w:eastAsia="宋体" w:cs="宋体"/>
          <w:spacing w:val="2"/>
          <w:sz w:val="28"/>
          <w:szCs w:val="28"/>
        </w:rPr>
        <w:t>所在部门：</w:t>
      </w:r>
    </w:p>
    <w:p w14:paraId="6E320B3D">
      <w:pPr>
        <w:spacing w:before="298" w:line="219" w:lineRule="auto"/>
        <w:ind w:left="611"/>
        <w:rPr>
          <w:rFonts w:ascii="宋体" w:hAnsi="宋体" w:eastAsia="宋体" w:cs="宋体"/>
          <w:sz w:val="28"/>
          <w:szCs w:val="28"/>
        </w:rPr>
      </w:pPr>
      <w:r>
        <w:rPr>
          <w:rFonts w:ascii="宋体" w:hAnsi="宋体" w:eastAsia="宋体" w:cs="宋体"/>
          <w:spacing w:val="6"/>
          <w:sz w:val="28"/>
          <w:szCs w:val="28"/>
        </w:rPr>
        <w:t>附：法定代表人、被授权人二代身份证（正反面）复印件</w:t>
      </w:r>
    </w:p>
    <w:p w14:paraId="2CADB43A">
      <w:pPr>
        <w:pStyle w:val="6"/>
        <w:spacing w:line="242" w:lineRule="auto"/>
      </w:pPr>
    </w:p>
    <w:p w14:paraId="24039424">
      <w:pPr>
        <w:pStyle w:val="6"/>
        <w:spacing w:line="242" w:lineRule="auto"/>
      </w:pPr>
    </w:p>
    <w:p w14:paraId="5BFD4107">
      <w:pPr>
        <w:pStyle w:val="6"/>
        <w:spacing w:line="242" w:lineRule="auto"/>
      </w:pPr>
    </w:p>
    <w:p w14:paraId="3D7453BF">
      <w:pPr>
        <w:pStyle w:val="6"/>
        <w:spacing w:line="243" w:lineRule="auto"/>
      </w:pPr>
    </w:p>
    <w:p w14:paraId="56DC19EE">
      <w:pPr>
        <w:pStyle w:val="6"/>
        <w:spacing w:line="243" w:lineRule="auto"/>
      </w:pPr>
    </w:p>
    <w:p w14:paraId="38FB5335">
      <w:pPr>
        <w:pStyle w:val="6"/>
        <w:spacing w:line="243" w:lineRule="auto"/>
      </w:pPr>
    </w:p>
    <w:p w14:paraId="7DDF965D">
      <w:pPr>
        <w:pStyle w:val="6"/>
        <w:spacing w:line="243" w:lineRule="auto"/>
      </w:pPr>
    </w:p>
    <w:p w14:paraId="38CE0854">
      <w:pPr>
        <w:spacing w:before="92" w:line="403" w:lineRule="auto"/>
        <w:ind w:left="5855" w:right="1889" w:hanging="1535"/>
        <w:rPr>
          <w:rFonts w:ascii="宋体" w:hAnsi="宋体" w:eastAsia="宋体" w:cs="宋体"/>
          <w:sz w:val="28"/>
          <w:szCs w:val="28"/>
        </w:rPr>
      </w:pPr>
      <w:r>
        <w:rPr>
          <w:rFonts w:ascii="宋体" w:hAnsi="宋体" w:eastAsia="宋体" w:cs="宋体"/>
          <w:spacing w:val="5"/>
          <w:sz w:val="28"/>
          <w:szCs w:val="28"/>
        </w:rPr>
        <w:t>谈判响应单位名称（盖章）</w:t>
      </w:r>
      <w:r>
        <w:rPr>
          <w:rFonts w:ascii="宋体" w:hAnsi="宋体" w:eastAsia="宋体" w:cs="宋体"/>
          <w:sz w:val="28"/>
          <w:szCs w:val="28"/>
        </w:rPr>
        <w:t xml:space="preserve"> </w:t>
      </w:r>
      <w:r>
        <w:rPr>
          <w:rFonts w:ascii="宋体" w:hAnsi="宋体" w:eastAsia="宋体" w:cs="宋体"/>
          <w:spacing w:val="-10"/>
          <w:sz w:val="28"/>
          <w:szCs w:val="28"/>
        </w:rPr>
        <w:t>年</w:t>
      </w:r>
      <w:r>
        <w:rPr>
          <w:rFonts w:ascii="宋体" w:hAnsi="宋体" w:eastAsia="宋体" w:cs="宋体"/>
          <w:spacing w:val="8"/>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60E6FCA8">
      <w:pPr>
        <w:spacing w:line="403" w:lineRule="auto"/>
        <w:rPr>
          <w:rFonts w:ascii="宋体" w:hAnsi="宋体" w:eastAsia="宋体" w:cs="宋体"/>
          <w:sz w:val="28"/>
          <w:szCs w:val="28"/>
        </w:rPr>
        <w:sectPr>
          <w:footerReference r:id="rId16" w:type="default"/>
          <w:pgSz w:w="11906" w:h="16839"/>
          <w:pgMar w:top="1431" w:right="1133" w:bottom="1362" w:left="1142" w:header="0" w:footer="1200" w:gutter="0"/>
          <w:cols w:space="720" w:num="1"/>
        </w:sectPr>
      </w:pPr>
    </w:p>
    <w:p w14:paraId="6C206A8C">
      <w:pPr>
        <w:spacing w:before="232" w:line="223" w:lineRule="auto"/>
        <w:ind w:left="3697"/>
        <w:rPr>
          <w:rFonts w:ascii="宋体" w:hAnsi="宋体" w:eastAsia="宋体" w:cs="宋体"/>
          <w:sz w:val="31"/>
          <w:szCs w:val="31"/>
        </w:rPr>
      </w:pPr>
      <w:r>
        <w:rPr>
          <w:rFonts w:ascii="宋体" w:hAnsi="宋体" w:eastAsia="宋体" w:cs="宋体"/>
          <w:b/>
          <w:bCs/>
          <w:spacing w:val="-8"/>
          <w:sz w:val="31"/>
          <w:szCs w:val="31"/>
        </w:rPr>
        <w:t>三</w:t>
      </w:r>
      <w:r>
        <w:rPr>
          <w:rFonts w:ascii="宋体" w:hAnsi="宋体" w:eastAsia="宋体" w:cs="宋体"/>
          <w:spacing w:val="-118"/>
          <w:sz w:val="31"/>
          <w:szCs w:val="31"/>
        </w:rPr>
        <w:t xml:space="preserve"> </w:t>
      </w:r>
      <w:r>
        <w:rPr>
          <w:rFonts w:ascii="宋体" w:hAnsi="宋体" w:eastAsia="宋体" w:cs="宋体"/>
          <w:b/>
          <w:bCs/>
          <w:spacing w:val="-8"/>
          <w:sz w:val="31"/>
          <w:szCs w:val="31"/>
        </w:rPr>
        <w:t>、报</w:t>
      </w:r>
      <w:r>
        <w:rPr>
          <w:rFonts w:ascii="宋体" w:hAnsi="宋体" w:eastAsia="宋体" w:cs="宋体"/>
          <w:spacing w:val="13"/>
          <w:sz w:val="31"/>
          <w:szCs w:val="31"/>
        </w:rPr>
        <w:t xml:space="preserve">  </w:t>
      </w:r>
      <w:r>
        <w:rPr>
          <w:rFonts w:ascii="宋体" w:hAnsi="宋体" w:eastAsia="宋体" w:cs="宋体"/>
          <w:b/>
          <w:bCs/>
          <w:spacing w:val="-8"/>
          <w:sz w:val="31"/>
          <w:szCs w:val="31"/>
        </w:rPr>
        <w:t>价</w:t>
      </w:r>
      <w:r>
        <w:rPr>
          <w:rFonts w:ascii="宋体" w:hAnsi="宋体" w:eastAsia="宋体" w:cs="宋体"/>
          <w:spacing w:val="14"/>
          <w:sz w:val="31"/>
          <w:szCs w:val="31"/>
        </w:rPr>
        <w:t xml:space="preserve">  </w:t>
      </w:r>
      <w:r>
        <w:rPr>
          <w:rFonts w:ascii="宋体" w:hAnsi="宋体" w:eastAsia="宋体" w:cs="宋体"/>
          <w:b/>
          <w:bCs/>
          <w:spacing w:val="-8"/>
          <w:sz w:val="31"/>
          <w:szCs w:val="31"/>
        </w:rPr>
        <w:t>单</w:t>
      </w:r>
    </w:p>
    <w:p w14:paraId="3F926BD6">
      <w:pPr>
        <w:spacing w:before="238" w:line="220" w:lineRule="auto"/>
        <w:rPr>
          <w:rFonts w:ascii="宋体" w:hAnsi="宋体" w:eastAsia="宋体" w:cs="宋体"/>
          <w:sz w:val="28"/>
          <w:szCs w:val="28"/>
        </w:rPr>
      </w:pPr>
      <w:r>
        <w:rPr>
          <w:rFonts w:ascii="宋体" w:hAnsi="宋体" w:eastAsia="宋体" w:cs="宋体"/>
          <w:spacing w:val="-1"/>
          <w:sz w:val="28"/>
          <w:szCs w:val="28"/>
        </w:rPr>
        <w:t>致：</w:t>
      </w:r>
      <w:r>
        <w:rPr>
          <w:rFonts w:ascii="宋体" w:hAnsi="宋体" w:eastAsia="宋体" w:cs="宋体"/>
          <w:spacing w:val="-1"/>
          <w:sz w:val="28"/>
          <w:szCs w:val="28"/>
          <w:u w:val="single" w:color="auto"/>
        </w:rPr>
        <w:t>陕西燃气集团工程有限公司</w:t>
      </w:r>
      <w:r>
        <w:rPr>
          <w:rFonts w:ascii="宋体" w:hAnsi="宋体" w:eastAsia="宋体" w:cs="宋体"/>
          <w:spacing w:val="3"/>
          <w:sz w:val="28"/>
          <w:szCs w:val="28"/>
          <w:u w:val="single" w:color="auto"/>
        </w:rPr>
        <w:t xml:space="preserve"> </w:t>
      </w:r>
    </w:p>
    <w:p w14:paraId="15D1883B">
      <w:pPr>
        <w:spacing w:before="247" w:line="333" w:lineRule="auto"/>
        <w:ind w:left="3" w:firstLine="579"/>
        <w:jc w:val="both"/>
        <w:rPr>
          <w:rFonts w:ascii="宋体" w:hAnsi="宋体" w:eastAsia="宋体" w:cs="宋体"/>
          <w:color w:val="auto"/>
          <w:sz w:val="28"/>
          <w:szCs w:val="28"/>
        </w:rPr>
      </w:pPr>
      <w:r>
        <w:rPr>
          <w:rFonts w:ascii="宋体" w:hAnsi="宋体" w:eastAsia="宋体" w:cs="宋体"/>
          <w:color w:val="auto"/>
          <w:spacing w:val="-2"/>
          <w:sz w:val="28"/>
          <w:szCs w:val="28"/>
        </w:rPr>
        <w:t>1、就贵公司</w:t>
      </w:r>
      <w:r>
        <w:rPr>
          <w:rFonts w:ascii="宋体" w:hAnsi="宋体" w:eastAsia="宋体" w:cs="宋体"/>
          <w:color w:val="auto"/>
          <w:spacing w:val="-2"/>
          <w:sz w:val="28"/>
          <w:szCs w:val="28"/>
          <w:u w:val="single" w:color="auto"/>
        </w:rPr>
        <w:t xml:space="preserve"> </w:t>
      </w:r>
      <w:r>
        <w:rPr>
          <w:rFonts w:hint="eastAsia" w:ascii="宋体" w:hAnsi="宋体" w:eastAsia="宋体" w:cs="宋体"/>
          <w:color w:val="auto"/>
          <w:spacing w:val="-2"/>
          <w:sz w:val="28"/>
          <w:szCs w:val="28"/>
          <w:u w:val="single" w:color="auto"/>
          <w:lang w:eastAsia="zh-CN"/>
        </w:rPr>
        <w:t>陇漳岷天然气长输管道输配工程（陇漳段）项目（Ⅱ标段）</w:t>
      </w:r>
      <w:r>
        <w:rPr>
          <w:rFonts w:ascii="宋体" w:hAnsi="宋体" w:eastAsia="宋体" w:cs="宋体"/>
          <w:color w:val="auto"/>
          <w:spacing w:val="-2"/>
          <w:sz w:val="28"/>
          <w:szCs w:val="28"/>
          <w:u w:val="single" w:color="auto"/>
        </w:rPr>
        <w:t>施</w:t>
      </w:r>
      <w:r>
        <w:rPr>
          <w:rFonts w:ascii="宋体" w:hAnsi="宋体" w:eastAsia="宋体" w:cs="宋体"/>
          <w:color w:val="auto"/>
          <w:spacing w:val="-1"/>
          <w:sz w:val="28"/>
          <w:szCs w:val="28"/>
          <w:u w:val="single" w:color="auto"/>
        </w:rPr>
        <w:t xml:space="preserve">工劳务分包 </w:t>
      </w:r>
      <w:r>
        <w:rPr>
          <w:rFonts w:ascii="宋体" w:hAnsi="宋体" w:eastAsia="宋体" w:cs="宋体"/>
          <w:color w:val="auto"/>
          <w:spacing w:val="-1"/>
          <w:sz w:val="28"/>
          <w:szCs w:val="28"/>
        </w:rPr>
        <w:t>事宜，结合我方在施工领域的经验以及市场行情，我方本项目报价</w:t>
      </w:r>
      <w:r>
        <w:rPr>
          <w:rFonts w:ascii="宋体" w:hAnsi="宋体" w:eastAsia="宋体" w:cs="宋体"/>
          <w:color w:val="auto"/>
          <w:spacing w:val="-7"/>
          <w:sz w:val="28"/>
          <w:szCs w:val="28"/>
        </w:rPr>
        <w:t>为：</w:t>
      </w:r>
    </w:p>
    <w:tbl>
      <w:tblPr>
        <w:tblStyle w:val="9"/>
        <w:tblW w:w="9324"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715"/>
        <w:gridCol w:w="742"/>
        <w:gridCol w:w="850"/>
        <w:gridCol w:w="1842"/>
        <w:gridCol w:w="1841"/>
        <w:gridCol w:w="1715"/>
      </w:tblGrid>
      <w:tr w14:paraId="356F9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19" w:type="dxa"/>
            <w:textDirection w:val="tbRlV"/>
            <w:vAlign w:val="top"/>
          </w:tcPr>
          <w:p w14:paraId="6F92DE9E">
            <w:pPr>
              <w:pStyle w:val="10"/>
              <w:spacing w:before="186" w:line="210" w:lineRule="auto"/>
              <w:ind w:left="263"/>
              <w:jc w:val="center"/>
              <w:rPr>
                <w:color w:val="auto"/>
                <w:sz w:val="24"/>
                <w:szCs w:val="24"/>
              </w:rPr>
            </w:pPr>
            <w:r>
              <w:rPr>
                <w:color w:val="auto"/>
                <w:spacing w:val="-1"/>
                <w:sz w:val="24"/>
                <w:szCs w:val="24"/>
              </w:rPr>
              <w:t>序号</w:t>
            </w:r>
          </w:p>
        </w:tc>
        <w:tc>
          <w:tcPr>
            <w:tcW w:w="1715" w:type="dxa"/>
            <w:vAlign w:val="center"/>
          </w:tcPr>
          <w:p w14:paraId="1B94A8BB">
            <w:pPr>
              <w:pStyle w:val="10"/>
              <w:spacing w:before="78" w:line="219" w:lineRule="auto"/>
              <w:ind w:left="622"/>
              <w:jc w:val="center"/>
              <w:rPr>
                <w:color w:val="auto"/>
                <w:sz w:val="24"/>
                <w:szCs w:val="24"/>
              </w:rPr>
            </w:pPr>
            <w:r>
              <w:rPr>
                <w:color w:val="auto"/>
                <w:spacing w:val="-20"/>
                <w:sz w:val="24"/>
                <w:szCs w:val="24"/>
              </w:rPr>
              <w:t>内容</w:t>
            </w:r>
          </w:p>
        </w:tc>
        <w:tc>
          <w:tcPr>
            <w:tcW w:w="742" w:type="dxa"/>
            <w:vAlign w:val="center"/>
          </w:tcPr>
          <w:p w14:paraId="1958A124">
            <w:pPr>
              <w:pStyle w:val="10"/>
              <w:spacing w:before="78" w:line="220" w:lineRule="auto"/>
              <w:ind w:left="116"/>
              <w:jc w:val="center"/>
              <w:rPr>
                <w:color w:val="auto"/>
                <w:sz w:val="24"/>
                <w:szCs w:val="24"/>
              </w:rPr>
            </w:pPr>
            <w:r>
              <w:rPr>
                <w:color w:val="auto"/>
                <w:spacing w:val="-6"/>
                <w:sz w:val="24"/>
                <w:szCs w:val="24"/>
              </w:rPr>
              <w:t>单位</w:t>
            </w:r>
          </w:p>
        </w:tc>
        <w:tc>
          <w:tcPr>
            <w:tcW w:w="850" w:type="dxa"/>
            <w:vAlign w:val="center"/>
          </w:tcPr>
          <w:p w14:paraId="6E5C6864">
            <w:pPr>
              <w:pStyle w:val="10"/>
              <w:spacing w:before="78" w:line="219" w:lineRule="auto"/>
              <w:ind w:left="192"/>
              <w:jc w:val="both"/>
              <w:rPr>
                <w:color w:val="auto"/>
                <w:sz w:val="24"/>
                <w:szCs w:val="24"/>
              </w:rPr>
            </w:pPr>
            <w:r>
              <w:rPr>
                <w:color w:val="auto"/>
                <w:spacing w:val="-6"/>
                <w:sz w:val="24"/>
                <w:szCs w:val="24"/>
              </w:rPr>
              <w:t>数量</w:t>
            </w:r>
          </w:p>
        </w:tc>
        <w:tc>
          <w:tcPr>
            <w:tcW w:w="1842" w:type="dxa"/>
            <w:vAlign w:val="center"/>
          </w:tcPr>
          <w:p w14:paraId="44D0D6A3">
            <w:pPr>
              <w:pStyle w:val="10"/>
              <w:spacing w:before="78" w:line="218" w:lineRule="auto"/>
              <w:ind w:left="115"/>
              <w:jc w:val="center"/>
              <w:rPr>
                <w:color w:val="auto"/>
                <w:sz w:val="24"/>
                <w:szCs w:val="24"/>
              </w:rPr>
            </w:pPr>
            <w:r>
              <w:rPr>
                <w:color w:val="auto"/>
                <w:spacing w:val="-2"/>
                <w:sz w:val="24"/>
                <w:szCs w:val="24"/>
              </w:rPr>
              <w:t>含税单价（元）</w:t>
            </w:r>
          </w:p>
        </w:tc>
        <w:tc>
          <w:tcPr>
            <w:tcW w:w="1841" w:type="dxa"/>
            <w:vAlign w:val="center"/>
          </w:tcPr>
          <w:p w14:paraId="16947F0C">
            <w:pPr>
              <w:pStyle w:val="10"/>
              <w:spacing w:before="78" w:line="218" w:lineRule="auto"/>
              <w:ind w:left="116"/>
              <w:jc w:val="center"/>
              <w:rPr>
                <w:color w:val="auto"/>
                <w:sz w:val="24"/>
                <w:szCs w:val="24"/>
              </w:rPr>
            </w:pPr>
            <w:r>
              <w:rPr>
                <w:color w:val="auto"/>
                <w:spacing w:val="-2"/>
                <w:sz w:val="24"/>
                <w:szCs w:val="24"/>
              </w:rPr>
              <w:t>含税总价（元）</w:t>
            </w:r>
          </w:p>
        </w:tc>
        <w:tc>
          <w:tcPr>
            <w:tcW w:w="1715" w:type="dxa"/>
            <w:vAlign w:val="center"/>
          </w:tcPr>
          <w:p w14:paraId="185077C6">
            <w:pPr>
              <w:pStyle w:val="10"/>
              <w:spacing w:before="78" w:line="221" w:lineRule="auto"/>
              <w:ind w:left="626"/>
              <w:jc w:val="both"/>
              <w:rPr>
                <w:color w:val="auto"/>
                <w:sz w:val="24"/>
                <w:szCs w:val="24"/>
              </w:rPr>
            </w:pPr>
            <w:r>
              <w:rPr>
                <w:color w:val="auto"/>
                <w:spacing w:val="-7"/>
                <w:sz w:val="24"/>
                <w:szCs w:val="24"/>
              </w:rPr>
              <w:t>备注</w:t>
            </w:r>
          </w:p>
        </w:tc>
      </w:tr>
      <w:tr w14:paraId="0AD7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19" w:type="dxa"/>
            <w:vAlign w:val="top"/>
          </w:tcPr>
          <w:p w14:paraId="702BE6DB">
            <w:pPr>
              <w:spacing w:line="256" w:lineRule="auto"/>
              <w:rPr>
                <w:rFonts w:ascii="Arial"/>
                <w:color w:val="auto"/>
                <w:sz w:val="21"/>
              </w:rPr>
            </w:pPr>
          </w:p>
          <w:p w14:paraId="59B11096">
            <w:pPr>
              <w:spacing w:line="257" w:lineRule="auto"/>
              <w:rPr>
                <w:rFonts w:ascii="Arial"/>
                <w:color w:val="auto"/>
                <w:sz w:val="21"/>
              </w:rPr>
            </w:pPr>
          </w:p>
          <w:p w14:paraId="6E992DE6">
            <w:pPr>
              <w:spacing w:line="257" w:lineRule="auto"/>
              <w:rPr>
                <w:rFonts w:ascii="Arial"/>
                <w:color w:val="auto"/>
                <w:sz w:val="21"/>
              </w:rPr>
            </w:pPr>
          </w:p>
          <w:p w14:paraId="0083F04E">
            <w:pPr>
              <w:pStyle w:val="10"/>
              <w:spacing w:before="78" w:line="184" w:lineRule="auto"/>
              <w:ind w:left="334"/>
              <w:rPr>
                <w:color w:val="auto"/>
                <w:sz w:val="24"/>
                <w:szCs w:val="24"/>
              </w:rPr>
            </w:pPr>
            <w:r>
              <w:rPr>
                <w:color w:val="auto"/>
                <w:sz w:val="24"/>
                <w:szCs w:val="24"/>
              </w:rPr>
              <w:t>1</w:t>
            </w:r>
          </w:p>
        </w:tc>
        <w:tc>
          <w:tcPr>
            <w:tcW w:w="1715" w:type="dxa"/>
            <w:vAlign w:val="top"/>
          </w:tcPr>
          <w:p w14:paraId="32709BCC">
            <w:pPr>
              <w:pStyle w:val="10"/>
              <w:spacing w:before="78" w:line="219" w:lineRule="auto"/>
              <w:rPr>
                <w:color w:val="auto"/>
                <w:spacing w:val="-20"/>
                <w:sz w:val="24"/>
                <w:szCs w:val="24"/>
              </w:rPr>
            </w:pPr>
            <w:r>
              <w:rPr>
                <w:rFonts w:hint="eastAsia"/>
                <w:color w:val="auto"/>
                <w:spacing w:val="-20"/>
                <w:sz w:val="24"/>
                <w:szCs w:val="24"/>
                <w:lang w:eastAsia="zh-CN"/>
              </w:rPr>
              <w:t>陇漳岷天然气长输管道输配工程（陇漳段）项目（Ⅱ标段）</w:t>
            </w:r>
            <w:r>
              <w:rPr>
                <w:color w:val="auto"/>
                <w:spacing w:val="-20"/>
                <w:sz w:val="24"/>
                <w:szCs w:val="24"/>
              </w:rPr>
              <w:t>施工劳务分包</w:t>
            </w:r>
          </w:p>
        </w:tc>
        <w:tc>
          <w:tcPr>
            <w:tcW w:w="742" w:type="dxa"/>
            <w:vAlign w:val="top"/>
          </w:tcPr>
          <w:p w14:paraId="554531F3">
            <w:pPr>
              <w:pStyle w:val="10"/>
              <w:spacing w:before="78" w:line="184" w:lineRule="auto"/>
              <w:rPr>
                <w:color w:val="auto"/>
                <w:sz w:val="24"/>
                <w:szCs w:val="24"/>
              </w:rPr>
            </w:pPr>
          </w:p>
          <w:p w14:paraId="61442BED">
            <w:pPr>
              <w:pStyle w:val="10"/>
              <w:spacing w:before="78" w:line="184" w:lineRule="auto"/>
              <w:rPr>
                <w:color w:val="auto"/>
                <w:sz w:val="24"/>
                <w:szCs w:val="24"/>
              </w:rPr>
            </w:pPr>
          </w:p>
          <w:p w14:paraId="25EF38FC">
            <w:pPr>
              <w:pStyle w:val="10"/>
              <w:spacing w:before="78" w:line="184" w:lineRule="auto"/>
              <w:rPr>
                <w:color w:val="auto"/>
                <w:sz w:val="24"/>
                <w:szCs w:val="24"/>
              </w:rPr>
            </w:pPr>
          </w:p>
          <w:p w14:paraId="2A3DEBDE">
            <w:pPr>
              <w:pStyle w:val="10"/>
              <w:spacing w:before="78" w:line="184" w:lineRule="auto"/>
              <w:jc w:val="center"/>
              <w:rPr>
                <w:color w:val="auto"/>
                <w:spacing w:val="-20"/>
                <w:sz w:val="24"/>
                <w:szCs w:val="24"/>
              </w:rPr>
            </w:pPr>
            <w:r>
              <w:rPr>
                <w:color w:val="auto"/>
                <w:sz w:val="24"/>
                <w:szCs w:val="24"/>
              </w:rPr>
              <w:t>项</w:t>
            </w:r>
          </w:p>
        </w:tc>
        <w:tc>
          <w:tcPr>
            <w:tcW w:w="850" w:type="dxa"/>
            <w:vAlign w:val="top"/>
          </w:tcPr>
          <w:p w14:paraId="11438196">
            <w:pPr>
              <w:pStyle w:val="10"/>
              <w:spacing w:before="78" w:line="184" w:lineRule="auto"/>
              <w:ind w:left="388"/>
              <w:rPr>
                <w:color w:val="auto"/>
                <w:sz w:val="24"/>
                <w:szCs w:val="24"/>
              </w:rPr>
            </w:pPr>
          </w:p>
          <w:p w14:paraId="2C85622A">
            <w:pPr>
              <w:pStyle w:val="10"/>
              <w:spacing w:before="78" w:line="184" w:lineRule="auto"/>
              <w:ind w:left="388"/>
              <w:rPr>
                <w:color w:val="auto"/>
                <w:sz w:val="24"/>
                <w:szCs w:val="24"/>
              </w:rPr>
            </w:pPr>
          </w:p>
          <w:p w14:paraId="78ED3978">
            <w:pPr>
              <w:pStyle w:val="10"/>
              <w:spacing w:before="78" w:line="184" w:lineRule="auto"/>
              <w:ind w:left="388"/>
              <w:rPr>
                <w:color w:val="auto"/>
                <w:sz w:val="24"/>
                <w:szCs w:val="24"/>
              </w:rPr>
            </w:pPr>
          </w:p>
          <w:p w14:paraId="328B9D5F">
            <w:pPr>
              <w:pStyle w:val="10"/>
              <w:spacing w:before="78" w:line="184" w:lineRule="auto"/>
              <w:ind w:left="388"/>
              <w:rPr>
                <w:color w:val="auto"/>
                <w:sz w:val="24"/>
                <w:szCs w:val="24"/>
              </w:rPr>
            </w:pPr>
            <w:r>
              <w:rPr>
                <w:color w:val="auto"/>
                <w:sz w:val="24"/>
                <w:szCs w:val="24"/>
              </w:rPr>
              <w:t>1</w:t>
            </w:r>
          </w:p>
        </w:tc>
        <w:tc>
          <w:tcPr>
            <w:tcW w:w="1842" w:type="dxa"/>
            <w:vAlign w:val="top"/>
          </w:tcPr>
          <w:p w14:paraId="006167C8">
            <w:pPr>
              <w:rPr>
                <w:rFonts w:ascii="Arial"/>
                <w:color w:val="auto"/>
                <w:sz w:val="21"/>
              </w:rPr>
            </w:pPr>
          </w:p>
        </w:tc>
        <w:tc>
          <w:tcPr>
            <w:tcW w:w="1841" w:type="dxa"/>
            <w:vAlign w:val="top"/>
          </w:tcPr>
          <w:p w14:paraId="6682BC03">
            <w:pPr>
              <w:rPr>
                <w:rFonts w:ascii="Arial"/>
                <w:color w:val="auto"/>
                <w:sz w:val="21"/>
              </w:rPr>
            </w:pPr>
          </w:p>
        </w:tc>
        <w:tc>
          <w:tcPr>
            <w:tcW w:w="1715" w:type="dxa"/>
            <w:vAlign w:val="top"/>
          </w:tcPr>
          <w:p w14:paraId="6408E91D">
            <w:pPr>
              <w:rPr>
                <w:rFonts w:ascii="Arial"/>
                <w:color w:val="auto"/>
                <w:sz w:val="21"/>
              </w:rPr>
            </w:pPr>
          </w:p>
        </w:tc>
      </w:tr>
      <w:tr w14:paraId="7C58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334" w:type="dxa"/>
            <w:gridSpan w:val="2"/>
            <w:vAlign w:val="top"/>
          </w:tcPr>
          <w:p w14:paraId="42AB3AB1">
            <w:pPr>
              <w:spacing w:line="424" w:lineRule="auto"/>
              <w:rPr>
                <w:rFonts w:ascii="Arial"/>
                <w:color w:val="auto"/>
                <w:sz w:val="21"/>
              </w:rPr>
            </w:pPr>
          </w:p>
          <w:p w14:paraId="5617BCE0">
            <w:pPr>
              <w:pStyle w:val="10"/>
              <w:spacing w:before="78" w:line="231" w:lineRule="auto"/>
              <w:ind w:left="825" w:right="825" w:firstLine="115"/>
              <w:rPr>
                <w:color w:val="auto"/>
                <w:sz w:val="24"/>
                <w:szCs w:val="24"/>
              </w:rPr>
            </w:pPr>
            <w:r>
              <w:rPr>
                <w:color w:val="auto"/>
                <w:spacing w:val="-8"/>
                <w:sz w:val="24"/>
                <w:szCs w:val="24"/>
              </w:rPr>
              <w:t>总价</w:t>
            </w:r>
            <w:r>
              <w:rPr>
                <w:color w:val="auto"/>
                <w:sz w:val="24"/>
                <w:szCs w:val="24"/>
              </w:rPr>
              <w:t xml:space="preserve"> </w:t>
            </w:r>
            <w:r>
              <w:rPr>
                <w:color w:val="auto"/>
                <w:spacing w:val="-14"/>
                <w:sz w:val="24"/>
                <w:szCs w:val="24"/>
              </w:rPr>
              <w:t>（元）</w:t>
            </w:r>
          </w:p>
        </w:tc>
        <w:tc>
          <w:tcPr>
            <w:tcW w:w="6990" w:type="dxa"/>
            <w:gridSpan w:val="5"/>
            <w:vAlign w:val="top"/>
          </w:tcPr>
          <w:p w14:paraId="54A7E384">
            <w:pPr>
              <w:spacing w:line="346" w:lineRule="auto"/>
              <w:rPr>
                <w:rFonts w:ascii="Arial"/>
                <w:color w:val="auto"/>
                <w:sz w:val="21"/>
              </w:rPr>
            </w:pPr>
          </w:p>
          <w:p w14:paraId="532678A7">
            <w:pPr>
              <w:pStyle w:val="10"/>
              <w:spacing w:before="78" w:line="350" w:lineRule="auto"/>
              <w:ind w:left="113" w:right="661" w:firstLine="2"/>
              <w:rPr>
                <w:color w:val="auto"/>
                <w:sz w:val="24"/>
                <w:szCs w:val="24"/>
              </w:rPr>
            </w:pPr>
            <w:r>
              <w:rPr>
                <w:color w:val="auto"/>
                <w:spacing w:val="-7"/>
                <w:sz w:val="24"/>
                <w:szCs w:val="24"/>
              </w:rPr>
              <w:t>人民币大写</w:t>
            </w:r>
            <w:r>
              <w:rPr>
                <w:color w:val="auto"/>
                <w:sz w:val="24"/>
                <w:szCs w:val="24"/>
                <w:u w:val="single" w:color="auto"/>
              </w:rPr>
              <w:t xml:space="preserve">                 </w:t>
            </w:r>
            <w:r>
              <w:rPr>
                <w:color w:val="auto"/>
                <w:spacing w:val="-7"/>
                <w:sz w:val="24"/>
                <w:szCs w:val="24"/>
              </w:rPr>
              <w:t xml:space="preserve"> 小写</w:t>
            </w:r>
            <w:r>
              <w:rPr>
                <w:color w:val="auto"/>
                <w:spacing w:val="22"/>
                <w:sz w:val="24"/>
                <w:szCs w:val="24"/>
              </w:rPr>
              <w:t xml:space="preserve"> </w:t>
            </w:r>
            <w:r>
              <w:rPr>
                <w:color w:val="auto"/>
                <w:spacing w:val="-7"/>
                <w:sz w:val="24"/>
                <w:szCs w:val="24"/>
              </w:rPr>
              <w:t>(￥：</w:t>
            </w:r>
            <w:r>
              <w:rPr>
                <w:color w:val="auto"/>
                <w:spacing w:val="-96"/>
                <w:sz w:val="24"/>
                <w:szCs w:val="24"/>
              </w:rPr>
              <w:t xml:space="preserve"> </w:t>
            </w:r>
            <w:r>
              <w:rPr>
                <w:color w:val="auto"/>
                <w:sz w:val="24"/>
                <w:szCs w:val="24"/>
                <w:u w:val="single" w:color="auto"/>
              </w:rPr>
              <w:t xml:space="preserve">          </w:t>
            </w:r>
            <w:r>
              <w:rPr>
                <w:color w:val="auto"/>
                <w:spacing w:val="-109"/>
                <w:sz w:val="24"/>
                <w:szCs w:val="24"/>
              </w:rPr>
              <w:t xml:space="preserve"> </w:t>
            </w:r>
            <w:r>
              <w:rPr>
                <w:color w:val="auto"/>
                <w:spacing w:val="-7"/>
                <w:sz w:val="24"/>
                <w:szCs w:val="24"/>
              </w:rPr>
              <w:t>元）</w:t>
            </w:r>
            <w:r>
              <w:rPr>
                <w:color w:val="auto"/>
                <w:sz w:val="24"/>
                <w:szCs w:val="24"/>
              </w:rPr>
              <w:t xml:space="preserve"> </w:t>
            </w:r>
            <w:r>
              <w:rPr>
                <w:color w:val="auto"/>
                <w:spacing w:val="-2"/>
                <w:sz w:val="24"/>
                <w:szCs w:val="24"/>
              </w:rPr>
              <w:t>税率：3%</w:t>
            </w:r>
          </w:p>
        </w:tc>
      </w:tr>
    </w:tbl>
    <w:p w14:paraId="2FA635A6">
      <w:pPr>
        <w:pStyle w:val="6"/>
        <w:spacing w:line="354" w:lineRule="auto"/>
        <w:rPr>
          <w:color w:val="auto"/>
        </w:rPr>
      </w:pPr>
    </w:p>
    <w:p w14:paraId="1ED75DFA">
      <w:pPr>
        <w:pStyle w:val="6"/>
        <w:spacing w:line="355" w:lineRule="auto"/>
      </w:pPr>
    </w:p>
    <w:p w14:paraId="6CD24C70">
      <w:pPr>
        <w:spacing w:before="92" w:line="401" w:lineRule="auto"/>
        <w:ind w:left="2" w:firstLine="562"/>
        <w:rPr>
          <w:rFonts w:ascii="宋体" w:hAnsi="宋体" w:eastAsia="宋体" w:cs="宋体"/>
          <w:sz w:val="28"/>
          <w:szCs w:val="28"/>
        </w:rPr>
      </w:pPr>
      <w:r>
        <w:rPr>
          <w:rFonts w:ascii="宋体" w:hAnsi="宋体" w:eastAsia="宋体" w:cs="宋体"/>
          <w:spacing w:val="8"/>
          <w:sz w:val="28"/>
          <w:szCs w:val="28"/>
        </w:rPr>
        <w:t>2、一旦贵单位确定由我方承担本项目施工</w:t>
      </w:r>
      <w:r>
        <w:rPr>
          <w:rFonts w:ascii="宋体" w:hAnsi="宋体" w:eastAsia="宋体" w:cs="宋体"/>
          <w:spacing w:val="7"/>
          <w:sz w:val="28"/>
          <w:szCs w:val="28"/>
        </w:rPr>
        <w:t>，我方承诺将全力提供优质服</w:t>
      </w:r>
      <w:r>
        <w:rPr>
          <w:rFonts w:ascii="宋体" w:hAnsi="宋体" w:eastAsia="宋体" w:cs="宋体"/>
          <w:spacing w:val="-7"/>
          <w:sz w:val="28"/>
          <w:szCs w:val="28"/>
        </w:rPr>
        <w:t>务。</w:t>
      </w:r>
    </w:p>
    <w:p w14:paraId="24377A7E">
      <w:pPr>
        <w:pStyle w:val="6"/>
        <w:spacing w:line="242" w:lineRule="auto"/>
      </w:pPr>
    </w:p>
    <w:p w14:paraId="127E055D">
      <w:pPr>
        <w:pStyle w:val="6"/>
        <w:spacing w:line="242" w:lineRule="auto"/>
      </w:pPr>
    </w:p>
    <w:p w14:paraId="0AEC7722">
      <w:pPr>
        <w:pStyle w:val="6"/>
        <w:spacing w:line="242" w:lineRule="auto"/>
      </w:pPr>
    </w:p>
    <w:p w14:paraId="1E4CF850">
      <w:pPr>
        <w:pStyle w:val="6"/>
        <w:spacing w:line="242" w:lineRule="auto"/>
      </w:pPr>
    </w:p>
    <w:p w14:paraId="72CCA17F">
      <w:pPr>
        <w:pStyle w:val="6"/>
        <w:spacing w:line="243" w:lineRule="auto"/>
      </w:pPr>
    </w:p>
    <w:p w14:paraId="7860388E">
      <w:pPr>
        <w:pStyle w:val="6"/>
        <w:spacing w:line="243" w:lineRule="auto"/>
      </w:pPr>
    </w:p>
    <w:p w14:paraId="6AEB63A7">
      <w:pPr>
        <w:pStyle w:val="6"/>
        <w:spacing w:line="243" w:lineRule="auto"/>
      </w:pPr>
    </w:p>
    <w:p w14:paraId="78D46E19">
      <w:pPr>
        <w:spacing w:before="91" w:line="346" w:lineRule="auto"/>
        <w:ind w:left="3780" w:right="821" w:hanging="700"/>
        <w:rPr>
          <w:rFonts w:ascii="宋体" w:hAnsi="宋体" w:eastAsia="宋体" w:cs="宋体"/>
          <w:sz w:val="28"/>
          <w:szCs w:val="28"/>
        </w:rPr>
      </w:pPr>
      <w:r>
        <w:rPr>
          <w:rFonts w:ascii="宋体" w:hAnsi="宋体" w:eastAsia="宋体" w:cs="宋体"/>
          <w:spacing w:val="-2"/>
          <w:sz w:val="28"/>
          <w:szCs w:val="28"/>
        </w:rPr>
        <w:t>谈判响应单位（盖章</w:t>
      </w:r>
      <w:r>
        <w:rPr>
          <w:rFonts w:ascii="宋体" w:hAnsi="宋体" w:eastAsia="宋体" w:cs="宋体"/>
          <w:spacing w:val="2"/>
          <w:sz w:val="28"/>
          <w:szCs w:val="28"/>
        </w:rPr>
        <w:t>）：</w:t>
      </w:r>
      <w:r>
        <w:rPr>
          <w:rFonts w:ascii="宋体" w:hAnsi="宋体" w:eastAsia="宋体" w:cs="宋体"/>
          <w:spacing w:val="7"/>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3"/>
          <w:sz w:val="28"/>
          <w:szCs w:val="28"/>
        </w:rPr>
        <w:t>法定代表人</w:t>
      </w:r>
    </w:p>
    <w:p w14:paraId="1C3AE510">
      <w:pPr>
        <w:spacing w:before="172" w:line="403" w:lineRule="auto"/>
        <w:ind w:left="6499" w:right="960" w:hanging="2716"/>
        <w:rPr>
          <w:rFonts w:ascii="宋体" w:hAnsi="宋体" w:eastAsia="宋体" w:cs="宋体"/>
          <w:sz w:val="28"/>
          <w:szCs w:val="28"/>
        </w:rPr>
      </w:pPr>
      <w:r>
        <w:rPr>
          <w:rFonts w:ascii="宋体" w:hAnsi="宋体" w:eastAsia="宋体" w:cs="宋体"/>
          <w:spacing w:val="-1"/>
          <w:sz w:val="28"/>
          <w:szCs w:val="28"/>
        </w:rPr>
        <w:t>或其委托代理人：</w:t>
      </w:r>
      <w:r>
        <w:rPr>
          <w:rFonts w:ascii="宋体" w:hAnsi="宋体" w:eastAsia="宋体" w:cs="宋体"/>
          <w:spacing w:val="-1"/>
          <w:sz w:val="28"/>
          <w:szCs w:val="28"/>
          <w:u w:val="single" w:color="auto"/>
        </w:rPr>
        <w:t xml:space="preserve">                   </w:t>
      </w:r>
      <w:r>
        <w:rPr>
          <w:rFonts w:ascii="宋体" w:hAnsi="宋体" w:eastAsia="宋体" w:cs="宋体"/>
          <w:spacing w:val="11"/>
          <w:sz w:val="28"/>
          <w:szCs w:val="28"/>
        </w:rPr>
        <w:t xml:space="preserve"> </w:t>
      </w:r>
      <w:r>
        <w:rPr>
          <w:rFonts w:ascii="宋体" w:hAnsi="宋体" w:eastAsia="宋体" w:cs="宋体"/>
          <w:spacing w:val="-10"/>
          <w:sz w:val="28"/>
          <w:szCs w:val="28"/>
        </w:rPr>
        <w:t>年</w:t>
      </w:r>
      <w:r>
        <w:rPr>
          <w:rFonts w:ascii="宋体" w:hAnsi="宋体" w:eastAsia="宋体" w:cs="宋体"/>
          <w:spacing w:val="9"/>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5950D938">
      <w:pPr>
        <w:spacing w:line="403" w:lineRule="auto"/>
        <w:rPr>
          <w:rFonts w:ascii="宋体" w:hAnsi="宋体" w:eastAsia="宋体" w:cs="宋体"/>
          <w:sz w:val="28"/>
          <w:szCs w:val="28"/>
        </w:rPr>
        <w:sectPr>
          <w:footerReference r:id="rId17" w:type="default"/>
          <w:pgSz w:w="11906" w:h="16839"/>
          <w:pgMar w:top="1431" w:right="1132" w:bottom="1362" w:left="1143" w:header="0" w:footer="1200" w:gutter="0"/>
          <w:cols w:space="720" w:num="1"/>
        </w:sectPr>
      </w:pPr>
    </w:p>
    <w:p w14:paraId="58E54BF4">
      <w:pPr>
        <w:spacing w:before="232" w:line="289" w:lineRule="auto"/>
        <w:ind w:left="3833" w:right="46" w:hanging="3776"/>
        <w:jc w:val="center"/>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陇漳岷天然气长输管道输配工程（陇漳段）项目</w:t>
      </w:r>
    </w:p>
    <w:p w14:paraId="31FF9F9E">
      <w:pPr>
        <w:spacing w:before="232" w:line="289" w:lineRule="auto"/>
        <w:ind w:left="3833" w:right="46" w:hanging="3776"/>
        <w:jc w:val="center"/>
        <w:rPr>
          <w:rFonts w:hint="eastAsia" w:ascii="宋体" w:hAnsi="宋体" w:eastAsia="宋体" w:cs="宋体"/>
          <w:b/>
          <w:bCs/>
          <w:color w:val="auto"/>
          <w:spacing w:val="6"/>
          <w:sz w:val="31"/>
          <w:szCs w:val="31"/>
          <w:lang w:eastAsia="zh-CN"/>
        </w:rPr>
      </w:pPr>
      <w:r>
        <w:rPr>
          <w:rFonts w:hint="eastAsia" w:ascii="宋体" w:hAnsi="宋体" w:eastAsia="宋体" w:cs="宋体"/>
          <w:b/>
          <w:bCs/>
          <w:color w:val="auto"/>
          <w:spacing w:val="6"/>
          <w:sz w:val="31"/>
          <w:szCs w:val="31"/>
          <w:lang w:val="en-US" w:eastAsia="zh-CN"/>
        </w:rPr>
        <w:t>(</w:t>
      </w:r>
      <w:r>
        <w:rPr>
          <w:rFonts w:hint="eastAsia" w:ascii="宋体" w:hAnsi="宋体" w:eastAsia="宋体" w:cs="宋体"/>
          <w:b/>
          <w:bCs/>
          <w:color w:val="auto"/>
          <w:spacing w:val="6"/>
          <w:sz w:val="31"/>
          <w:szCs w:val="31"/>
          <w:lang w:eastAsia="zh-CN"/>
        </w:rPr>
        <w:t>Ⅱ标段</w:t>
      </w:r>
      <w:r>
        <w:rPr>
          <w:rFonts w:hint="eastAsia" w:ascii="宋体" w:hAnsi="宋体" w:eastAsia="宋体" w:cs="宋体"/>
          <w:b/>
          <w:bCs/>
          <w:color w:val="auto"/>
          <w:spacing w:val="6"/>
          <w:sz w:val="31"/>
          <w:szCs w:val="31"/>
          <w:lang w:val="en-US" w:eastAsia="zh-CN"/>
        </w:rPr>
        <w:t>)施工</w:t>
      </w:r>
      <w:r>
        <w:rPr>
          <w:rFonts w:hint="eastAsia" w:ascii="宋体" w:hAnsi="宋体" w:eastAsia="宋体" w:cs="宋体"/>
          <w:b/>
          <w:bCs/>
          <w:color w:val="auto"/>
          <w:spacing w:val="6"/>
          <w:sz w:val="31"/>
          <w:szCs w:val="31"/>
          <w:lang w:eastAsia="zh-CN"/>
        </w:rPr>
        <w:t>劳务分包合同</w:t>
      </w:r>
    </w:p>
    <w:p w14:paraId="1B1BD2C0">
      <w:pPr>
        <w:spacing w:before="232" w:line="289" w:lineRule="auto"/>
        <w:ind w:left="3833" w:right="46" w:hanging="3776"/>
        <w:jc w:val="center"/>
        <w:rPr>
          <w:rFonts w:hint="eastAsia" w:ascii="宋体" w:hAnsi="宋体" w:eastAsia="宋体" w:cs="宋体"/>
          <w:b/>
          <w:bCs/>
          <w:spacing w:val="5"/>
          <w:sz w:val="31"/>
          <w:szCs w:val="31"/>
          <w:lang w:val="en-US" w:eastAsia="zh-CN"/>
        </w:rPr>
      </w:pPr>
      <w:r>
        <w:rPr>
          <w:rFonts w:ascii="宋体" w:hAnsi="宋体" w:eastAsia="宋体" w:cs="宋体"/>
          <w:b/>
          <w:bCs/>
          <w:spacing w:val="5"/>
          <w:sz w:val="31"/>
          <w:szCs w:val="31"/>
        </w:rPr>
        <w:t>工程量清单</w:t>
      </w:r>
      <w:r>
        <w:rPr>
          <w:rFonts w:hint="eastAsia" w:ascii="宋体" w:hAnsi="宋体" w:eastAsia="宋体" w:cs="宋体"/>
          <w:b/>
          <w:bCs/>
          <w:spacing w:val="5"/>
          <w:sz w:val="31"/>
          <w:szCs w:val="31"/>
          <w:lang w:val="en-US" w:eastAsia="zh-CN"/>
        </w:rPr>
        <w:t>单价明细表</w:t>
      </w:r>
    </w:p>
    <w:tbl>
      <w:tblPr>
        <w:tblStyle w:val="7"/>
        <w:tblW w:w="10023"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48"/>
        <w:gridCol w:w="2800"/>
        <w:gridCol w:w="700"/>
        <w:gridCol w:w="937"/>
        <w:gridCol w:w="1200"/>
        <w:gridCol w:w="1050"/>
        <w:gridCol w:w="1088"/>
      </w:tblGrid>
      <w:tr w14:paraId="4CD9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00" w:type="dxa"/>
            <w:noWrap w:val="0"/>
            <w:vAlign w:val="center"/>
          </w:tcPr>
          <w:p w14:paraId="4ECD3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8" w:type="dxa"/>
            <w:noWrap w:val="0"/>
            <w:vAlign w:val="center"/>
          </w:tcPr>
          <w:p w14:paraId="4D007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分项工程名称</w:t>
            </w:r>
          </w:p>
        </w:tc>
        <w:tc>
          <w:tcPr>
            <w:tcW w:w="2800" w:type="dxa"/>
            <w:noWrap w:val="0"/>
            <w:vAlign w:val="center"/>
          </w:tcPr>
          <w:p w14:paraId="612FD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700" w:type="dxa"/>
            <w:noWrap w:val="0"/>
            <w:vAlign w:val="center"/>
          </w:tcPr>
          <w:p w14:paraId="7FAE7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937" w:type="dxa"/>
            <w:noWrap w:val="0"/>
            <w:vAlign w:val="center"/>
          </w:tcPr>
          <w:p w14:paraId="2120C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数量  </w:t>
            </w:r>
            <w:r>
              <w:rPr>
                <w:rFonts w:hint="eastAsia" w:ascii="宋体" w:hAnsi="宋体" w:eastAsia="宋体" w:cs="宋体"/>
                <w:i w:val="0"/>
                <w:iCs w:val="0"/>
                <w:color w:val="000000"/>
                <w:w w:val="90"/>
                <w:kern w:val="0"/>
                <w:sz w:val="24"/>
                <w:szCs w:val="24"/>
                <w:u w:val="none"/>
                <w:lang w:val="en-US" w:eastAsia="zh-CN" w:bidi="ar"/>
              </w:rPr>
              <w:t>(暂定)</w:t>
            </w:r>
          </w:p>
        </w:tc>
        <w:tc>
          <w:tcPr>
            <w:tcW w:w="1200" w:type="dxa"/>
            <w:noWrap w:val="0"/>
            <w:vAlign w:val="center"/>
          </w:tcPr>
          <w:p w14:paraId="789E9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1050" w:type="dxa"/>
            <w:noWrap w:val="0"/>
            <w:vAlign w:val="center"/>
          </w:tcPr>
          <w:p w14:paraId="4A721C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w:t>
            </w:r>
          </w:p>
          <w:p w14:paraId="7E63D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1088" w:type="dxa"/>
            <w:noWrap w:val="0"/>
            <w:vAlign w:val="center"/>
          </w:tcPr>
          <w:p w14:paraId="5D49F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D23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0" w:type="dxa"/>
            <w:noWrap w:val="0"/>
            <w:vAlign w:val="center"/>
          </w:tcPr>
          <w:p w14:paraId="391C15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48" w:type="dxa"/>
            <w:noWrap w:val="0"/>
            <w:vAlign w:val="center"/>
          </w:tcPr>
          <w:p w14:paraId="1FCF1F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2800" w:type="dxa"/>
            <w:shd w:val="clear" w:color="auto" w:fill="auto"/>
            <w:noWrap w:val="0"/>
            <w:vAlign w:val="center"/>
          </w:tcPr>
          <w:p w14:paraId="61A9B6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40F9D1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118F03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212CBD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288C67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487822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75B29F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Arial" w:hAnsi="Arial" w:eastAsia="Arial" w:cs="Arial"/>
                <w:snapToGrid w:val="0"/>
                <w:color w:val="000000"/>
                <w:kern w:val="0"/>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700" w:type="dxa"/>
            <w:noWrap w:val="0"/>
            <w:vAlign w:val="center"/>
          </w:tcPr>
          <w:p w14:paraId="583DA7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1D8A9B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7DFA9E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5D16ED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38048BB0">
            <w:pPr>
              <w:jc w:val="center"/>
              <w:rPr>
                <w:rFonts w:hint="eastAsia" w:ascii="宋体" w:hAnsi="宋体" w:eastAsia="宋体" w:cs="宋体"/>
                <w:i w:val="0"/>
                <w:iCs w:val="0"/>
                <w:color w:val="000000"/>
                <w:sz w:val="24"/>
                <w:szCs w:val="24"/>
                <w:u w:val="none"/>
              </w:rPr>
            </w:pPr>
          </w:p>
        </w:tc>
      </w:tr>
      <w:tr w14:paraId="296B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0" w:type="dxa"/>
            <w:noWrap w:val="0"/>
            <w:vAlign w:val="center"/>
          </w:tcPr>
          <w:p w14:paraId="185D1D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48" w:type="dxa"/>
            <w:noWrap w:val="0"/>
            <w:vAlign w:val="center"/>
          </w:tcPr>
          <w:p w14:paraId="0CDA26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2800" w:type="dxa"/>
            <w:shd w:val="clear" w:color="auto" w:fill="auto"/>
            <w:noWrap w:val="0"/>
            <w:vAlign w:val="center"/>
          </w:tcPr>
          <w:p w14:paraId="15EC85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1A4213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421B71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3D2A93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C62CB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76C673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169B82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Arial" w:hAnsi="Arial" w:eastAsia="宋体" w:cs="Arial"/>
                <w:snapToGrid w:val="0"/>
                <w:color w:val="000000"/>
                <w:kern w:val="0"/>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700" w:type="dxa"/>
            <w:noWrap w:val="0"/>
            <w:vAlign w:val="center"/>
          </w:tcPr>
          <w:p w14:paraId="6B943F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583F69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38988A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00E659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7E38DE7C">
            <w:pPr>
              <w:jc w:val="center"/>
              <w:rPr>
                <w:rFonts w:hint="eastAsia" w:ascii="宋体" w:hAnsi="宋体" w:eastAsia="宋体" w:cs="宋体"/>
                <w:i w:val="0"/>
                <w:iCs w:val="0"/>
                <w:color w:val="000000"/>
                <w:sz w:val="24"/>
                <w:szCs w:val="24"/>
                <w:u w:val="none"/>
              </w:rPr>
            </w:pPr>
          </w:p>
        </w:tc>
      </w:tr>
      <w:tr w14:paraId="6F9B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0" w:type="dxa"/>
            <w:noWrap w:val="0"/>
            <w:vAlign w:val="center"/>
          </w:tcPr>
          <w:p w14:paraId="1C419D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48" w:type="dxa"/>
            <w:noWrap w:val="0"/>
            <w:vAlign w:val="center"/>
          </w:tcPr>
          <w:p w14:paraId="65CE81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2800" w:type="dxa"/>
            <w:shd w:val="clear" w:color="auto" w:fill="auto"/>
            <w:noWrap w:val="0"/>
            <w:vAlign w:val="center"/>
          </w:tcPr>
          <w:p w14:paraId="33E5E4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465266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3974DB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7F6CB4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9D18D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16822D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Arial" w:hAnsi="Arial" w:eastAsia="Arial" w:cs="Arial"/>
                <w:snapToGrid w:val="0"/>
                <w:color w:val="000000"/>
                <w:kern w:val="0"/>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700" w:type="dxa"/>
            <w:noWrap w:val="0"/>
            <w:vAlign w:val="center"/>
          </w:tcPr>
          <w:p w14:paraId="3FBF88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1A73BE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4A63B0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36B889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68AE4C11">
            <w:pPr>
              <w:jc w:val="center"/>
              <w:rPr>
                <w:rFonts w:hint="eastAsia" w:ascii="宋体" w:hAnsi="宋体" w:eastAsia="宋体" w:cs="宋体"/>
                <w:i w:val="0"/>
                <w:iCs w:val="0"/>
                <w:color w:val="000000"/>
                <w:sz w:val="24"/>
                <w:szCs w:val="24"/>
                <w:u w:val="none"/>
              </w:rPr>
            </w:pPr>
          </w:p>
        </w:tc>
      </w:tr>
      <w:tr w14:paraId="2AAD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650AD2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48" w:type="dxa"/>
            <w:noWrap w:val="0"/>
            <w:vAlign w:val="center"/>
          </w:tcPr>
          <w:p w14:paraId="2F5EB0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2800" w:type="dxa"/>
            <w:shd w:val="clear" w:color="auto" w:fill="auto"/>
            <w:noWrap w:val="0"/>
            <w:vAlign w:val="center"/>
          </w:tcPr>
          <w:p w14:paraId="4673C1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5CEF10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141138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6BEB9E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F2621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671622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3824E5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3FA818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4C5DBB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Arial" w:hAnsi="Arial" w:eastAsia="Arial" w:cs="Arial"/>
                <w:snapToGrid w:val="0"/>
                <w:color w:val="000000"/>
                <w:kern w:val="0"/>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700" w:type="dxa"/>
            <w:noWrap w:val="0"/>
            <w:vAlign w:val="center"/>
          </w:tcPr>
          <w:p w14:paraId="2CD16B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4DF172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082864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1D8192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10FA5742">
            <w:pPr>
              <w:jc w:val="center"/>
              <w:rPr>
                <w:rFonts w:hint="eastAsia" w:ascii="宋体" w:hAnsi="宋体" w:eastAsia="宋体" w:cs="宋体"/>
                <w:i w:val="0"/>
                <w:iCs w:val="0"/>
                <w:color w:val="000000"/>
                <w:sz w:val="24"/>
                <w:szCs w:val="24"/>
                <w:u w:val="none"/>
              </w:rPr>
            </w:pPr>
          </w:p>
        </w:tc>
      </w:tr>
      <w:tr w14:paraId="375E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9324A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48" w:type="dxa"/>
            <w:noWrap w:val="0"/>
            <w:vAlign w:val="center"/>
          </w:tcPr>
          <w:p w14:paraId="116745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2800" w:type="dxa"/>
            <w:shd w:val="clear" w:color="auto" w:fill="auto"/>
            <w:noWrap w:val="0"/>
            <w:vAlign w:val="center"/>
          </w:tcPr>
          <w:p w14:paraId="22765C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17CEE0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[施工部位]：G148-G160、G176-G184、G195-G262之间桩号</w:t>
            </w:r>
          </w:p>
          <w:p w14:paraId="627A75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3A0CD3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93B20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3A165D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04D065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700" w:type="dxa"/>
            <w:noWrap w:val="0"/>
            <w:vAlign w:val="center"/>
          </w:tcPr>
          <w:p w14:paraId="3492EC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7B97D2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29404A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4EB74D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7CE71BB4">
            <w:pPr>
              <w:jc w:val="center"/>
              <w:rPr>
                <w:rFonts w:hint="eastAsia" w:ascii="宋体" w:hAnsi="宋体" w:eastAsia="宋体" w:cs="宋体"/>
                <w:i w:val="0"/>
                <w:iCs w:val="0"/>
                <w:color w:val="000000"/>
                <w:sz w:val="24"/>
                <w:szCs w:val="24"/>
                <w:u w:val="none"/>
              </w:rPr>
            </w:pPr>
          </w:p>
        </w:tc>
      </w:tr>
      <w:tr w14:paraId="46E8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8A375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48" w:type="dxa"/>
            <w:noWrap w:val="0"/>
            <w:vAlign w:val="center"/>
          </w:tcPr>
          <w:p w14:paraId="742EFB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2800" w:type="dxa"/>
            <w:shd w:val="clear" w:color="auto" w:fill="auto"/>
            <w:noWrap w:val="0"/>
            <w:vAlign w:val="center"/>
          </w:tcPr>
          <w:p w14:paraId="044F7D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70FD0B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21BBC8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458170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36DBB5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465FEB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700" w:type="dxa"/>
            <w:noWrap w:val="0"/>
            <w:vAlign w:val="center"/>
          </w:tcPr>
          <w:p w14:paraId="018C01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57CAEA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2C8C26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589E63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1B4118B9">
            <w:pPr>
              <w:jc w:val="center"/>
              <w:rPr>
                <w:rFonts w:hint="eastAsia" w:ascii="宋体" w:hAnsi="宋体" w:eastAsia="宋体" w:cs="宋体"/>
                <w:i w:val="0"/>
                <w:iCs w:val="0"/>
                <w:color w:val="000000"/>
                <w:sz w:val="24"/>
                <w:szCs w:val="24"/>
                <w:u w:val="none"/>
              </w:rPr>
            </w:pPr>
          </w:p>
        </w:tc>
      </w:tr>
      <w:tr w14:paraId="5301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3AB02E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48" w:type="dxa"/>
            <w:noWrap w:val="0"/>
            <w:vAlign w:val="center"/>
          </w:tcPr>
          <w:p w14:paraId="680E51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2800" w:type="dxa"/>
            <w:shd w:val="clear" w:color="auto" w:fill="auto"/>
            <w:noWrap w:val="0"/>
            <w:vAlign w:val="center"/>
          </w:tcPr>
          <w:p w14:paraId="2F410F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47D993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194DA0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713408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2ABE84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26B737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Arial" w:hAnsi="Arial" w:eastAsia="Arial" w:cs="Arial"/>
                <w:snapToGrid w:val="0"/>
                <w:color w:val="000000"/>
                <w:kern w:val="0"/>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700" w:type="dxa"/>
            <w:noWrap w:val="0"/>
            <w:vAlign w:val="center"/>
          </w:tcPr>
          <w:p w14:paraId="76CBC3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63B7FF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0647DA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2561A6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48C3EB2E">
            <w:pPr>
              <w:jc w:val="center"/>
              <w:rPr>
                <w:rFonts w:hint="eastAsia" w:ascii="宋体" w:hAnsi="宋体" w:eastAsia="宋体" w:cs="宋体"/>
                <w:i w:val="0"/>
                <w:iCs w:val="0"/>
                <w:color w:val="000000"/>
                <w:sz w:val="24"/>
                <w:szCs w:val="24"/>
                <w:u w:val="none"/>
              </w:rPr>
            </w:pPr>
          </w:p>
        </w:tc>
      </w:tr>
      <w:tr w14:paraId="19A8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noWrap w:val="0"/>
            <w:vAlign w:val="center"/>
          </w:tcPr>
          <w:p w14:paraId="47ABE3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48" w:type="dxa"/>
            <w:noWrap w:val="0"/>
            <w:vAlign w:val="center"/>
          </w:tcPr>
          <w:p w14:paraId="6C0D2A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2800" w:type="dxa"/>
            <w:shd w:val="clear" w:color="auto" w:fill="auto"/>
            <w:noWrap w:val="0"/>
            <w:vAlign w:val="center"/>
          </w:tcPr>
          <w:p w14:paraId="6DC09D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54DBE2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7C8EB0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5B3604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08AB1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700" w:type="dxa"/>
            <w:noWrap w:val="0"/>
            <w:vAlign w:val="center"/>
          </w:tcPr>
          <w:p w14:paraId="62B173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48F9C1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7F165E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132807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01ED3727">
            <w:pPr>
              <w:jc w:val="center"/>
              <w:rPr>
                <w:rFonts w:hint="eastAsia" w:ascii="宋体" w:hAnsi="宋体" w:eastAsia="宋体" w:cs="宋体"/>
                <w:i w:val="0"/>
                <w:iCs w:val="0"/>
                <w:color w:val="000000"/>
                <w:sz w:val="24"/>
                <w:szCs w:val="24"/>
                <w:u w:val="none"/>
              </w:rPr>
            </w:pPr>
          </w:p>
        </w:tc>
      </w:tr>
      <w:tr w14:paraId="7784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A9081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48" w:type="dxa"/>
            <w:noWrap w:val="0"/>
            <w:vAlign w:val="center"/>
          </w:tcPr>
          <w:p w14:paraId="44D7D2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2800" w:type="dxa"/>
            <w:shd w:val="clear" w:color="auto" w:fill="auto"/>
            <w:noWrap w:val="0"/>
            <w:vAlign w:val="center"/>
          </w:tcPr>
          <w:p w14:paraId="3CCA1D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06FAF6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4535D8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5BFCD7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A706B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1.清管、测径、试压、干燥。</w:t>
            </w:r>
          </w:p>
        </w:tc>
        <w:tc>
          <w:tcPr>
            <w:tcW w:w="700" w:type="dxa"/>
            <w:noWrap w:val="0"/>
            <w:vAlign w:val="center"/>
          </w:tcPr>
          <w:p w14:paraId="2BD330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522131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0ABAD7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593896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109FB833">
            <w:pPr>
              <w:jc w:val="center"/>
              <w:rPr>
                <w:rFonts w:hint="eastAsia" w:ascii="宋体" w:hAnsi="宋体" w:eastAsia="宋体" w:cs="宋体"/>
                <w:i w:val="0"/>
                <w:iCs w:val="0"/>
                <w:color w:val="000000"/>
                <w:sz w:val="24"/>
                <w:szCs w:val="24"/>
                <w:u w:val="none"/>
              </w:rPr>
            </w:pPr>
          </w:p>
        </w:tc>
      </w:tr>
      <w:tr w14:paraId="0890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3BE33D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48" w:type="dxa"/>
            <w:noWrap w:val="0"/>
            <w:vAlign w:val="center"/>
          </w:tcPr>
          <w:p w14:paraId="4E9C25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2800" w:type="dxa"/>
            <w:shd w:val="clear" w:color="auto" w:fill="auto"/>
            <w:noWrap w:val="0"/>
            <w:vAlign w:val="center"/>
          </w:tcPr>
          <w:p w14:paraId="29D111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3EE9E3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[施工部位]：G148-G160、G176-G184、G195-G262桩号之间</w:t>
            </w:r>
          </w:p>
          <w:p w14:paraId="35C643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276093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6D8BA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Arial" w:hAnsi="Arial" w:eastAsia="Arial" w:cs="Arial"/>
                <w:snapToGrid w:val="0"/>
                <w:color w:val="000000"/>
                <w:kern w:val="0"/>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1.管道氮气置换。</w:t>
            </w:r>
          </w:p>
        </w:tc>
        <w:tc>
          <w:tcPr>
            <w:tcW w:w="700" w:type="dxa"/>
            <w:noWrap w:val="0"/>
            <w:vAlign w:val="center"/>
          </w:tcPr>
          <w:p w14:paraId="718AE7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2C670C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200" w:type="dxa"/>
            <w:noWrap w:val="0"/>
            <w:vAlign w:val="center"/>
          </w:tcPr>
          <w:p w14:paraId="60871B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37872F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00C8A485">
            <w:pPr>
              <w:jc w:val="center"/>
              <w:rPr>
                <w:rFonts w:hint="eastAsia" w:ascii="宋体" w:hAnsi="宋体" w:eastAsia="宋体" w:cs="宋体"/>
                <w:i w:val="0"/>
                <w:iCs w:val="0"/>
                <w:color w:val="000000"/>
                <w:sz w:val="24"/>
                <w:szCs w:val="24"/>
                <w:u w:val="none"/>
              </w:rPr>
            </w:pPr>
          </w:p>
        </w:tc>
      </w:tr>
      <w:tr w14:paraId="12A5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5DD4B6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48" w:type="dxa"/>
            <w:noWrap w:val="0"/>
            <w:vAlign w:val="center"/>
          </w:tcPr>
          <w:p w14:paraId="556281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2800" w:type="dxa"/>
            <w:shd w:val="clear" w:color="auto" w:fill="auto"/>
            <w:noWrap w:val="0"/>
            <w:vAlign w:val="center"/>
          </w:tcPr>
          <w:p w14:paraId="0B9C10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0F0004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[施工部位]：G142-G148、G160-G176、G184-G195桩号之间</w:t>
            </w:r>
          </w:p>
          <w:p w14:paraId="3357ED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453D42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6257E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6B4033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409645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700" w:type="dxa"/>
            <w:noWrap w:val="0"/>
            <w:vAlign w:val="center"/>
          </w:tcPr>
          <w:p w14:paraId="47868B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1480D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53152C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0EDBA9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34D620E4">
            <w:pPr>
              <w:jc w:val="center"/>
              <w:rPr>
                <w:rFonts w:hint="eastAsia" w:ascii="宋体" w:hAnsi="宋体" w:eastAsia="宋体" w:cs="宋体"/>
                <w:i w:val="0"/>
                <w:iCs w:val="0"/>
                <w:color w:val="000000"/>
                <w:sz w:val="24"/>
                <w:szCs w:val="24"/>
                <w:u w:val="none"/>
              </w:rPr>
            </w:pPr>
          </w:p>
        </w:tc>
      </w:tr>
      <w:tr w14:paraId="62B8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0DD90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548" w:type="dxa"/>
            <w:noWrap w:val="0"/>
            <w:vAlign w:val="center"/>
          </w:tcPr>
          <w:p w14:paraId="699887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2800" w:type="dxa"/>
            <w:shd w:val="clear" w:color="auto" w:fill="auto"/>
            <w:noWrap w:val="0"/>
            <w:vAlign w:val="center"/>
          </w:tcPr>
          <w:p w14:paraId="705CAD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230E3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[施工部位]：G142-G148、G160-G176、G184-G195桩号之间</w:t>
            </w:r>
          </w:p>
          <w:p w14:paraId="29F396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522634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1AB67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1E8596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39B47E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700" w:type="dxa"/>
            <w:noWrap w:val="0"/>
            <w:vAlign w:val="center"/>
          </w:tcPr>
          <w:p w14:paraId="20C894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663160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7862B6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773F45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74C58D4E">
            <w:pPr>
              <w:jc w:val="center"/>
              <w:rPr>
                <w:rFonts w:hint="eastAsia" w:ascii="宋体" w:hAnsi="宋体" w:eastAsia="宋体" w:cs="宋体"/>
                <w:i w:val="0"/>
                <w:iCs w:val="0"/>
                <w:color w:val="000000"/>
                <w:sz w:val="24"/>
                <w:szCs w:val="24"/>
                <w:u w:val="none"/>
              </w:rPr>
            </w:pPr>
          </w:p>
        </w:tc>
      </w:tr>
      <w:tr w14:paraId="12E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D9DD1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48" w:type="dxa"/>
            <w:noWrap w:val="0"/>
            <w:vAlign w:val="center"/>
          </w:tcPr>
          <w:p w14:paraId="370196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2800" w:type="dxa"/>
            <w:shd w:val="clear" w:color="auto" w:fill="auto"/>
            <w:noWrap w:val="0"/>
            <w:vAlign w:val="center"/>
          </w:tcPr>
          <w:p w14:paraId="5F2DE3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6CA4D7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54F64C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560FC4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EC075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677096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700" w:type="dxa"/>
            <w:noWrap w:val="0"/>
            <w:vAlign w:val="center"/>
          </w:tcPr>
          <w:p w14:paraId="4D76B2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120D0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571ECC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758CF2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3ACF33E1">
            <w:pPr>
              <w:jc w:val="center"/>
              <w:rPr>
                <w:rFonts w:hint="eastAsia" w:ascii="宋体" w:hAnsi="宋体" w:eastAsia="宋体" w:cs="宋体"/>
                <w:i w:val="0"/>
                <w:iCs w:val="0"/>
                <w:color w:val="000000"/>
                <w:sz w:val="24"/>
                <w:szCs w:val="24"/>
                <w:u w:val="none"/>
              </w:rPr>
            </w:pPr>
          </w:p>
        </w:tc>
      </w:tr>
      <w:tr w14:paraId="1344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C0B9F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48" w:type="dxa"/>
            <w:noWrap w:val="0"/>
            <w:vAlign w:val="center"/>
          </w:tcPr>
          <w:p w14:paraId="1A0B8C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2800" w:type="dxa"/>
            <w:shd w:val="clear" w:color="auto" w:fill="auto"/>
            <w:noWrap w:val="0"/>
            <w:vAlign w:val="center"/>
          </w:tcPr>
          <w:p w14:paraId="173A37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494664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6074D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542461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F1B74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26D766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249F1E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45371B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5EF2D4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700" w:type="dxa"/>
            <w:noWrap w:val="0"/>
            <w:vAlign w:val="center"/>
          </w:tcPr>
          <w:p w14:paraId="33CD44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8E72C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42BF39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212291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1101D85A">
            <w:pPr>
              <w:jc w:val="center"/>
              <w:rPr>
                <w:rFonts w:hint="eastAsia" w:ascii="宋体" w:hAnsi="宋体" w:eastAsia="宋体" w:cs="宋体"/>
                <w:i w:val="0"/>
                <w:iCs w:val="0"/>
                <w:color w:val="000000"/>
                <w:sz w:val="24"/>
                <w:szCs w:val="24"/>
                <w:u w:val="none"/>
              </w:rPr>
            </w:pPr>
          </w:p>
        </w:tc>
      </w:tr>
      <w:tr w14:paraId="598B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61475F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48" w:type="dxa"/>
            <w:noWrap w:val="0"/>
            <w:vAlign w:val="center"/>
          </w:tcPr>
          <w:p w14:paraId="5DD91C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2800" w:type="dxa"/>
            <w:shd w:val="clear" w:color="auto" w:fill="auto"/>
            <w:noWrap w:val="0"/>
            <w:vAlign w:val="center"/>
          </w:tcPr>
          <w:p w14:paraId="64003B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794BEE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之间桩号</w:t>
            </w:r>
          </w:p>
          <w:p w14:paraId="143F1F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5F34D1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F386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373BF6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6F2933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700" w:type="dxa"/>
            <w:noWrap w:val="0"/>
            <w:vAlign w:val="center"/>
          </w:tcPr>
          <w:p w14:paraId="203540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B2F0B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023E90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7887B6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5D2AFE0E">
            <w:pPr>
              <w:jc w:val="center"/>
              <w:rPr>
                <w:rFonts w:hint="eastAsia" w:ascii="宋体" w:hAnsi="宋体" w:eastAsia="宋体" w:cs="宋体"/>
                <w:i w:val="0"/>
                <w:iCs w:val="0"/>
                <w:color w:val="000000"/>
                <w:sz w:val="24"/>
                <w:szCs w:val="24"/>
                <w:u w:val="none"/>
              </w:rPr>
            </w:pPr>
          </w:p>
        </w:tc>
      </w:tr>
      <w:tr w14:paraId="37D3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56E54B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548" w:type="dxa"/>
            <w:noWrap w:val="0"/>
            <w:vAlign w:val="center"/>
          </w:tcPr>
          <w:p w14:paraId="0361FE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2800" w:type="dxa"/>
            <w:shd w:val="clear" w:color="auto" w:fill="auto"/>
            <w:noWrap w:val="0"/>
            <w:vAlign w:val="center"/>
          </w:tcPr>
          <w:p w14:paraId="535439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2162F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90"/>
                <w:kern w:val="0"/>
                <w:sz w:val="16"/>
                <w:szCs w:val="16"/>
                <w:u w:val="none"/>
                <w:lang w:val="en-US" w:eastAsia="zh-CN" w:bidi="ar"/>
              </w:rPr>
              <w:t>G1</w:t>
            </w:r>
            <w:r>
              <w:rPr>
                <w:rFonts w:hint="eastAsia" w:ascii="宋体" w:hAnsi="宋体" w:eastAsia="宋体" w:cs="宋体"/>
                <w:i w:val="0"/>
                <w:iCs w:val="0"/>
                <w:color w:val="000000"/>
                <w:w w:val="100"/>
                <w:kern w:val="0"/>
                <w:sz w:val="16"/>
                <w:szCs w:val="16"/>
                <w:u w:val="none"/>
                <w:lang w:val="en-US" w:eastAsia="zh-CN" w:bidi="ar"/>
              </w:rPr>
              <w:t>42-G148、G160-G176、G184-G195</w:t>
            </w:r>
            <w:r>
              <w:rPr>
                <w:rFonts w:hint="eastAsia" w:ascii="宋体" w:hAnsi="宋体" w:eastAsia="宋体" w:cs="宋体"/>
                <w:i w:val="0"/>
                <w:iCs w:val="0"/>
                <w:color w:val="000000"/>
                <w:kern w:val="0"/>
                <w:sz w:val="16"/>
                <w:szCs w:val="16"/>
                <w:u w:val="none"/>
                <w:lang w:val="en-US" w:eastAsia="zh-CN" w:bidi="ar"/>
              </w:rPr>
              <w:t>桩号之间</w:t>
            </w:r>
          </w:p>
          <w:p w14:paraId="4EECD3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02C9A2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35FCB8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67E35B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700" w:type="dxa"/>
            <w:noWrap w:val="0"/>
            <w:vAlign w:val="center"/>
          </w:tcPr>
          <w:p w14:paraId="2E71B8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2E786F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7A469A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581EF7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4949B74B">
            <w:pPr>
              <w:jc w:val="center"/>
              <w:rPr>
                <w:rFonts w:hint="eastAsia" w:ascii="宋体" w:hAnsi="宋体" w:eastAsia="宋体" w:cs="宋体"/>
                <w:i w:val="0"/>
                <w:iCs w:val="0"/>
                <w:color w:val="000000"/>
                <w:sz w:val="24"/>
                <w:szCs w:val="24"/>
                <w:u w:val="none"/>
              </w:rPr>
            </w:pPr>
          </w:p>
        </w:tc>
      </w:tr>
      <w:tr w14:paraId="227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57615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548" w:type="dxa"/>
            <w:noWrap w:val="0"/>
            <w:vAlign w:val="center"/>
          </w:tcPr>
          <w:p w14:paraId="03C4E7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2800" w:type="dxa"/>
            <w:shd w:val="clear" w:color="auto" w:fill="auto"/>
            <w:noWrap w:val="0"/>
            <w:vAlign w:val="center"/>
          </w:tcPr>
          <w:p w14:paraId="680120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6A51A9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787748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0C9011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73E31A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E21B5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700" w:type="dxa"/>
            <w:noWrap w:val="0"/>
            <w:vAlign w:val="center"/>
          </w:tcPr>
          <w:p w14:paraId="4F9C7C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3057B0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007BCC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64EE1E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659ECBA0">
            <w:pPr>
              <w:jc w:val="center"/>
              <w:rPr>
                <w:rFonts w:hint="eastAsia" w:ascii="宋体" w:hAnsi="宋体" w:eastAsia="宋体" w:cs="宋体"/>
                <w:i w:val="0"/>
                <w:iCs w:val="0"/>
                <w:color w:val="000000"/>
                <w:sz w:val="24"/>
                <w:szCs w:val="24"/>
                <w:u w:val="none"/>
              </w:rPr>
            </w:pPr>
          </w:p>
        </w:tc>
      </w:tr>
      <w:tr w14:paraId="4EBC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93DD4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548" w:type="dxa"/>
            <w:noWrap w:val="0"/>
            <w:vAlign w:val="center"/>
          </w:tcPr>
          <w:p w14:paraId="22A4CA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2800" w:type="dxa"/>
            <w:shd w:val="clear" w:color="auto" w:fill="auto"/>
            <w:noWrap w:val="0"/>
            <w:vAlign w:val="center"/>
          </w:tcPr>
          <w:p w14:paraId="6E618E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345C31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28463E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2D7AAE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E04A9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700" w:type="dxa"/>
            <w:noWrap w:val="0"/>
            <w:vAlign w:val="center"/>
          </w:tcPr>
          <w:p w14:paraId="75D94F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2BF23C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61B2EA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1733BD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08228FCD">
            <w:pPr>
              <w:jc w:val="center"/>
              <w:rPr>
                <w:rFonts w:hint="eastAsia" w:ascii="宋体" w:hAnsi="宋体" w:eastAsia="宋体" w:cs="宋体"/>
                <w:i w:val="0"/>
                <w:iCs w:val="0"/>
                <w:color w:val="000000"/>
                <w:sz w:val="24"/>
                <w:szCs w:val="24"/>
                <w:u w:val="none"/>
              </w:rPr>
            </w:pPr>
          </w:p>
        </w:tc>
      </w:tr>
      <w:tr w14:paraId="0800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DC2D6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548" w:type="dxa"/>
            <w:noWrap w:val="0"/>
            <w:vAlign w:val="center"/>
          </w:tcPr>
          <w:p w14:paraId="677909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2800" w:type="dxa"/>
            <w:shd w:val="clear" w:color="auto" w:fill="auto"/>
            <w:noWrap w:val="0"/>
            <w:vAlign w:val="center"/>
          </w:tcPr>
          <w:p w14:paraId="5CCB3C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2FD177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42E86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7AA9DF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7745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w w:val="100"/>
                <w:kern w:val="0"/>
                <w:sz w:val="16"/>
                <w:szCs w:val="16"/>
                <w:u w:val="none"/>
                <w:lang w:val="en-US" w:eastAsia="zh-CN" w:bidi="ar"/>
              </w:rPr>
              <w:t>1.清管、测径、试压、干燥。</w:t>
            </w:r>
          </w:p>
        </w:tc>
        <w:tc>
          <w:tcPr>
            <w:tcW w:w="700" w:type="dxa"/>
            <w:noWrap w:val="0"/>
            <w:vAlign w:val="center"/>
          </w:tcPr>
          <w:p w14:paraId="463AF4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7DBC43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5CFBA6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7354C3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747851C1">
            <w:pPr>
              <w:jc w:val="center"/>
              <w:rPr>
                <w:rFonts w:hint="eastAsia" w:ascii="宋体" w:hAnsi="宋体" w:eastAsia="宋体" w:cs="宋体"/>
                <w:i w:val="0"/>
                <w:iCs w:val="0"/>
                <w:color w:val="000000"/>
                <w:sz w:val="24"/>
                <w:szCs w:val="24"/>
                <w:u w:val="none"/>
              </w:rPr>
            </w:pPr>
          </w:p>
        </w:tc>
      </w:tr>
      <w:tr w14:paraId="66A4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E4B4D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48" w:type="dxa"/>
            <w:noWrap w:val="0"/>
            <w:vAlign w:val="center"/>
          </w:tcPr>
          <w:p w14:paraId="01821F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2800" w:type="dxa"/>
            <w:shd w:val="clear" w:color="auto" w:fill="auto"/>
            <w:noWrap w:val="0"/>
            <w:vAlign w:val="center"/>
          </w:tcPr>
          <w:p w14:paraId="0D3821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05B92D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w:t>
            </w:r>
            <w:r>
              <w:rPr>
                <w:rFonts w:hint="eastAsia" w:ascii="宋体" w:hAnsi="宋体" w:eastAsia="宋体" w:cs="宋体"/>
                <w:i w:val="0"/>
                <w:iCs w:val="0"/>
                <w:color w:val="000000"/>
                <w:w w:val="100"/>
                <w:kern w:val="0"/>
                <w:sz w:val="16"/>
                <w:szCs w:val="16"/>
                <w:u w:val="none"/>
                <w:lang w:val="en-US" w:eastAsia="zh-CN" w:bidi="ar"/>
              </w:rPr>
              <w:t>G142-G148、G160-G176、G184-G195</w:t>
            </w:r>
            <w:r>
              <w:rPr>
                <w:rFonts w:hint="eastAsia" w:ascii="宋体" w:hAnsi="宋体" w:eastAsia="宋体" w:cs="宋体"/>
                <w:i w:val="0"/>
                <w:iCs w:val="0"/>
                <w:color w:val="000000"/>
                <w:kern w:val="0"/>
                <w:sz w:val="16"/>
                <w:szCs w:val="16"/>
                <w:u w:val="none"/>
                <w:lang w:val="en-US" w:eastAsia="zh-CN" w:bidi="ar"/>
              </w:rPr>
              <w:t>桩号之间</w:t>
            </w:r>
          </w:p>
          <w:p w14:paraId="6CDB92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683587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5F33E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w w:val="9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700" w:type="dxa"/>
            <w:noWrap w:val="0"/>
            <w:vAlign w:val="center"/>
          </w:tcPr>
          <w:p w14:paraId="09BBAC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937" w:type="dxa"/>
            <w:noWrap w:val="0"/>
            <w:vAlign w:val="center"/>
          </w:tcPr>
          <w:p w14:paraId="4243D8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200" w:type="dxa"/>
            <w:noWrap w:val="0"/>
            <w:vAlign w:val="center"/>
          </w:tcPr>
          <w:p w14:paraId="242920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0" w:type="dxa"/>
            <w:noWrap w:val="0"/>
            <w:vAlign w:val="center"/>
          </w:tcPr>
          <w:p w14:paraId="6E28BD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088" w:type="dxa"/>
            <w:noWrap w:val="0"/>
            <w:vAlign w:val="top"/>
          </w:tcPr>
          <w:p w14:paraId="03584B67">
            <w:pPr>
              <w:jc w:val="center"/>
              <w:rPr>
                <w:rFonts w:hint="eastAsia" w:ascii="宋体" w:hAnsi="宋体" w:eastAsia="宋体" w:cs="宋体"/>
                <w:i w:val="0"/>
                <w:iCs w:val="0"/>
                <w:color w:val="000000"/>
                <w:sz w:val="24"/>
                <w:szCs w:val="24"/>
                <w:u w:val="none"/>
              </w:rPr>
            </w:pPr>
          </w:p>
        </w:tc>
      </w:tr>
      <w:tr w14:paraId="690C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710AA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548" w:type="dxa"/>
            <w:noWrap w:val="0"/>
            <w:vAlign w:val="center"/>
          </w:tcPr>
          <w:p w14:paraId="0A1FA3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门站工艺管道和设备安装工程</w:t>
            </w:r>
          </w:p>
        </w:tc>
        <w:tc>
          <w:tcPr>
            <w:tcW w:w="2800" w:type="dxa"/>
            <w:shd w:val="clear" w:color="auto" w:fill="auto"/>
            <w:noWrap w:val="0"/>
            <w:vAlign w:val="center"/>
          </w:tcPr>
          <w:p w14:paraId="61BF08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[项目名称]：漳县分输站工艺管道和设备</w:t>
            </w:r>
          </w:p>
          <w:p w14:paraId="0FCBEA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安装及调试</w:t>
            </w:r>
          </w:p>
          <w:p w14:paraId="685D52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[施工部位]：漳县分输站</w:t>
            </w:r>
          </w:p>
          <w:p w14:paraId="3747C3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项目特征]：施工图纸所含工程内容全部完成</w:t>
            </w:r>
          </w:p>
          <w:p w14:paraId="02C085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37ABDD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1.工艺管道安装；</w:t>
            </w:r>
          </w:p>
          <w:p w14:paraId="1729932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2.阀类及设备安装；</w:t>
            </w:r>
          </w:p>
          <w:p w14:paraId="05AB57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3.管道及设备设施试压、调试及运行。</w:t>
            </w:r>
          </w:p>
        </w:tc>
        <w:tc>
          <w:tcPr>
            <w:tcW w:w="700" w:type="dxa"/>
            <w:noWrap w:val="0"/>
            <w:vAlign w:val="center"/>
          </w:tcPr>
          <w:p w14:paraId="469908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37" w:type="dxa"/>
            <w:noWrap w:val="0"/>
            <w:vAlign w:val="center"/>
          </w:tcPr>
          <w:p w14:paraId="3B9E91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200" w:type="dxa"/>
            <w:noWrap w:val="0"/>
            <w:vAlign w:val="center"/>
          </w:tcPr>
          <w:p w14:paraId="6B305D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1050" w:type="dxa"/>
            <w:noWrap w:val="0"/>
            <w:vAlign w:val="center"/>
          </w:tcPr>
          <w:p w14:paraId="0741DD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1088" w:type="dxa"/>
            <w:noWrap w:val="0"/>
            <w:vAlign w:val="top"/>
          </w:tcPr>
          <w:p w14:paraId="57F05949">
            <w:pPr>
              <w:jc w:val="center"/>
              <w:rPr>
                <w:rFonts w:hint="eastAsia" w:ascii="宋体" w:hAnsi="宋体" w:eastAsia="宋体" w:cs="宋体"/>
                <w:i w:val="0"/>
                <w:iCs w:val="0"/>
                <w:color w:val="000000"/>
                <w:sz w:val="24"/>
                <w:szCs w:val="24"/>
                <w:u w:val="none"/>
              </w:rPr>
            </w:pPr>
          </w:p>
        </w:tc>
      </w:tr>
      <w:tr w14:paraId="5657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79387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48" w:type="dxa"/>
            <w:noWrap w:val="0"/>
            <w:vAlign w:val="center"/>
          </w:tcPr>
          <w:p w14:paraId="1DF4CB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800" w:type="dxa"/>
            <w:noWrap w:val="0"/>
            <w:vAlign w:val="center"/>
          </w:tcPr>
          <w:p w14:paraId="223E77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700" w:type="dxa"/>
            <w:noWrap w:val="0"/>
            <w:vAlign w:val="center"/>
          </w:tcPr>
          <w:p w14:paraId="7AE9F7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noWrap w:val="0"/>
            <w:vAlign w:val="center"/>
          </w:tcPr>
          <w:p w14:paraId="23F082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noWrap w:val="0"/>
            <w:vAlign w:val="center"/>
          </w:tcPr>
          <w:p w14:paraId="7EEA1F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1050" w:type="dxa"/>
            <w:noWrap w:val="0"/>
            <w:vAlign w:val="center"/>
          </w:tcPr>
          <w:p w14:paraId="614A3D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1088" w:type="dxa"/>
            <w:noWrap w:val="0"/>
            <w:vAlign w:val="top"/>
          </w:tcPr>
          <w:p w14:paraId="380D1EDC">
            <w:pPr>
              <w:jc w:val="center"/>
              <w:rPr>
                <w:rFonts w:hint="eastAsia" w:ascii="宋体" w:hAnsi="宋体" w:eastAsia="宋体" w:cs="宋体"/>
                <w:i w:val="0"/>
                <w:iCs w:val="0"/>
                <w:color w:val="000000"/>
                <w:sz w:val="24"/>
                <w:szCs w:val="24"/>
                <w:u w:val="none"/>
              </w:rPr>
            </w:pPr>
          </w:p>
        </w:tc>
      </w:tr>
      <w:tr w14:paraId="029B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23" w:type="dxa"/>
            <w:gridSpan w:val="8"/>
            <w:noWrap w:val="0"/>
            <w:vAlign w:val="top"/>
          </w:tcPr>
          <w:p w14:paraId="0C6731C2">
            <w:pPr>
              <w:spacing w:line="360" w:lineRule="auto"/>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18"/>
              </w:rPr>
              <w:t>含税总价：</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元，人民币大写：</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u w:val="none"/>
                <w:lang w:val="en-US" w:eastAsia="zh-CN"/>
              </w:rPr>
              <w:t>元</w:t>
            </w:r>
            <w:r>
              <w:rPr>
                <w:rFonts w:hint="eastAsia" w:ascii="宋体" w:hAnsi="宋体" w:eastAsia="宋体" w:cs="宋体"/>
                <w:color w:val="000000"/>
                <w:sz w:val="21"/>
                <w:szCs w:val="18"/>
              </w:rPr>
              <w:t>；</w:t>
            </w:r>
          </w:p>
        </w:tc>
      </w:tr>
      <w:tr w14:paraId="4FE2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23" w:type="dxa"/>
            <w:gridSpan w:val="8"/>
            <w:noWrap w:val="0"/>
            <w:vAlign w:val="top"/>
          </w:tcPr>
          <w:p w14:paraId="6C0E1054">
            <w:pPr>
              <w:spacing w:line="360" w:lineRule="auto"/>
              <w:rPr>
                <w:rFonts w:hint="eastAsia" w:ascii="宋体" w:hAnsi="宋体" w:eastAsia="宋体" w:cs="宋体"/>
                <w:color w:val="000000"/>
                <w:sz w:val="21"/>
                <w:szCs w:val="18"/>
                <w:highlight w:val="none"/>
                <w:lang w:val="en-US" w:eastAsia="zh-CN"/>
              </w:rPr>
            </w:pPr>
            <w:r>
              <w:rPr>
                <w:rFonts w:hint="eastAsia" w:ascii="宋体" w:hAnsi="宋体" w:eastAsia="宋体" w:cs="宋体"/>
                <w:color w:val="000000"/>
                <w:sz w:val="21"/>
                <w:szCs w:val="18"/>
              </w:rPr>
              <w:t>不含税总价：</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元，人民币大写：</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w:t>
            </w:r>
          </w:p>
        </w:tc>
      </w:tr>
      <w:tr w14:paraId="626F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23" w:type="dxa"/>
            <w:gridSpan w:val="8"/>
            <w:noWrap w:val="0"/>
            <w:vAlign w:val="top"/>
          </w:tcPr>
          <w:p w14:paraId="7D644173">
            <w:pPr>
              <w:keepNext w:val="0"/>
              <w:keepLines w:val="0"/>
              <w:widowControl/>
              <w:suppressLineNumbers w:val="0"/>
              <w:jc w:val="left"/>
              <w:textAlignment w:val="top"/>
              <w:rPr>
                <w:rFonts w:hint="eastAsia" w:ascii="宋体" w:hAnsi="宋体" w:eastAsia="宋体" w:cs="宋体"/>
                <w:color w:val="000000"/>
                <w:sz w:val="21"/>
                <w:szCs w:val="18"/>
                <w:highlight w:val="none"/>
                <w:lang w:val="en-US" w:eastAsia="zh-CN"/>
              </w:rPr>
            </w:pPr>
            <w:r>
              <w:rPr>
                <w:rFonts w:hint="eastAsia" w:ascii="宋体" w:hAnsi="宋体" w:eastAsia="宋体" w:cs="宋体"/>
                <w:color w:val="000000"/>
                <w:sz w:val="21"/>
                <w:szCs w:val="18"/>
                <w:highlight w:val="none"/>
                <w:lang w:val="en-US" w:eastAsia="zh-CN"/>
              </w:rPr>
              <w:t>发票为增值税专用发票：</w:t>
            </w:r>
            <w:r>
              <w:rPr>
                <w:rFonts w:hint="eastAsia" w:ascii="宋体" w:hAnsi="宋体" w:eastAsia="宋体" w:cs="宋体"/>
                <w:color w:val="000000"/>
                <w:sz w:val="21"/>
                <w:szCs w:val="18"/>
                <w:highlight w:val="none"/>
              </w:rPr>
              <w:t>税率为</w:t>
            </w:r>
            <w:r>
              <w:rPr>
                <w:rFonts w:hint="eastAsia" w:ascii="宋体" w:hAnsi="宋体" w:eastAsia="宋体" w:cs="宋体"/>
                <w:color w:val="000000"/>
                <w:sz w:val="21"/>
                <w:szCs w:val="18"/>
                <w:highlight w:val="none"/>
                <w:u w:val="single"/>
              </w:rPr>
              <w:t xml:space="preserve"> </w:t>
            </w:r>
            <w:r>
              <w:rPr>
                <w:rFonts w:hint="eastAsia" w:ascii="宋体" w:hAnsi="宋体" w:eastAsia="宋体" w:cs="宋体"/>
                <w:color w:val="000000"/>
                <w:sz w:val="21"/>
                <w:szCs w:val="18"/>
                <w:highlight w:val="none"/>
                <w:u w:val="single"/>
                <w:lang w:val="en-US" w:eastAsia="zh-CN"/>
              </w:rPr>
              <w:t>3</w:t>
            </w:r>
            <w:r>
              <w:rPr>
                <w:rFonts w:hint="eastAsia" w:ascii="宋体" w:hAnsi="宋体" w:eastAsia="宋体" w:cs="宋体"/>
                <w:color w:val="000000"/>
                <w:sz w:val="21"/>
                <w:szCs w:val="18"/>
                <w:highlight w:val="none"/>
                <w:u w:val="single"/>
              </w:rPr>
              <w:t xml:space="preserve"> </w:t>
            </w:r>
            <w:r>
              <w:rPr>
                <w:rFonts w:hint="eastAsia" w:ascii="宋体" w:hAnsi="宋体" w:eastAsia="宋体" w:cs="宋体"/>
                <w:color w:val="000000"/>
                <w:sz w:val="21"/>
                <w:szCs w:val="18"/>
                <w:highlight w:val="none"/>
              </w:rPr>
              <w:t>%</w:t>
            </w:r>
          </w:p>
        </w:tc>
      </w:tr>
      <w:tr w14:paraId="1E21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23" w:type="dxa"/>
            <w:gridSpan w:val="8"/>
            <w:noWrap w:val="0"/>
            <w:vAlign w:val="top"/>
          </w:tcPr>
          <w:p w14:paraId="055FC512">
            <w:pPr>
              <w:keepNext w:val="0"/>
              <w:keepLines w:val="0"/>
              <w:widowControl/>
              <w:suppressLineNumbers w:val="0"/>
              <w:jc w:val="left"/>
              <w:textAlignment w:val="top"/>
              <w:rPr>
                <w:rFonts w:hint="eastAsia" w:ascii="宋体" w:hAnsi="宋体" w:eastAsia="宋体" w:cs="宋体"/>
                <w:color w:val="000000"/>
                <w:sz w:val="24"/>
                <w:highlight w:val="none"/>
              </w:rPr>
            </w:pPr>
            <w:r>
              <w:rPr>
                <w:rFonts w:hint="eastAsia" w:ascii="宋体" w:hAnsi="宋体" w:cs="宋体"/>
                <w:color w:val="000000"/>
                <w:sz w:val="21"/>
                <w:szCs w:val="18"/>
                <w:highlight w:val="none"/>
              </w:rPr>
              <w:t>说明：以上单价，包含但不限于施工准备费，劳务费，乙方自行采购的</w:t>
            </w:r>
            <w:r>
              <w:rPr>
                <w:rFonts w:hint="eastAsia" w:ascii="宋体" w:hAnsi="宋体" w:cs="宋体"/>
                <w:color w:val="000000"/>
                <w:sz w:val="21"/>
                <w:szCs w:val="18"/>
                <w:highlight w:val="none"/>
                <w:lang w:val="en-US" w:eastAsia="zh-CN"/>
              </w:rPr>
              <w:t>辅材及消耗</w:t>
            </w:r>
            <w:r>
              <w:rPr>
                <w:rFonts w:hint="eastAsia" w:ascii="宋体" w:hAnsi="宋体" w:cs="宋体"/>
                <w:color w:val="000000"/>
                <w:sz w:val="21"/>
                <w:szCs w:val="18"/>
                <w:highlight w:val="none"/>
              </w:rPr>
              <w:t>材料费，施工机具使用费，临时设施费，水电费，安全文明施工费，甲供材料的装卸、倒运、保管费，放假期间的场地看护费，已完工程及设备保护费，甲供物资退库费，场地清理费，保险费，管理费，风险费，利润，税金及政策文件规定的各项费用和支出等，乙方所提供的劳务人员在提供劳务服务过程中，需要配合项目部完成该项目研究课题所涉及的施工内容，期间产生的费用包含在此合同中，甲方不再单独付费。劳务</w:t>
            </w:r>
            <w:r>
              <w:rPr>
                <w:rFonts w:hint="eastAsia" w:ascii="宋体" w:hAnsi="宋体" w:eastAsia="宋体" w:cs="宋体"/>
                <w:color w:val="000000"/>
                <w:sz w:val="21"/>
                <w:szCs w:val="18"/>
                <w:highlight w:val="none"/>
                <w:lang w:val="en-US" w:eastAsia="zh-CN"/>
              </w:rPr>
              <w:t>合同</w:t>
            </w:r>
            <w:r>
              <w:rPr>
                <w:rFonts w:hint="eastAsia" w:ascii="宋体" w:hAnsi="宋体" w:cs="宋体"/>
                <w:color w:val="000000"/>
                <w:sz w:val="21"/>
                <w:szCs w:val="18"/>
                <w:highlight w:val="none"/>
              </w:rPr>
              <w:t>价格除本合同</w:t>
            </w:r>
            <w:r>
              <w:rPr>
                <w:rFonts w:ascii="宋体" w:hAnsi="宋体" w:cs="宋体"/>
                <w:color w:val="000000"/>
                <w:sz w:val="21"/>
                <w:szCs w:val="18"/>
                <w:highlight w:val="none"/>
              </w:rPr>
              <w:t>5.4规定</w:t>
            </w:r>
            <w:r>
              <w:rPr>
                <w:rFonts w:hint="eastAsia" w:ascii="宋体" w:hAnsi="宋体" w:cs="宋体"/>
                <w:color w:val="000000"/>
                <w:sz w:val="21"/>
                <w:szCs w:val="18"/>
                <w:highlight w:val="none"/>
              </w:rPr>
              <w:t>的情况外，均为一次包死，不再调整。若此税率和国家调整后的该合同要适用的税率发生变化，含税单价按照国家调整后的新税率进行调整。</w:t>
            </w:r>
            <w:r>
              <w:rPr>
                <w:rFonts w:hint="eastAsia" w:ascii="宋体" w:hAnsi="宋体" w:cs="宋体"/>
                <w:color w:val="000000"/>
                <w:sz w:val="21"/>
                <w:szCs w:val="18"/>
                <w:highlight w:val="none"/>
                <w:lang w:val="en-US" w:eastAsia="zh-CN"/>
              </w:rPr>
              <w:t>本工程为</w:t>
            </w:r>
            <w:r>
              <w:rPr>
                <w:rFonts w:hint="eastAsia" w:ascii="宋体" w:hAnsi="宋体" w:cs="宋体"/>
                <w:color w:val="000000"/>
                <w:sz w:val="21"/>
                <w:szCs w:val="18"/>
                <w:highlight w:val="none"/>
              </w:rPr>
              <w:t>固定综合单价合同</w:t>
            </w:r>
            <w:r>
              <w:rPr>
                <w:rFonts w:hint="eastAsia" w:ascii="宋体" w:hAnsi="宋体" w:cs="宋体"/>
                <w:color w:val="000000"/>
                <w:sz w:val="21"/>
                <w:szCs w:val="18"/>
                <w:highlight w:val="none"/>
                <w:lang w:val="en-US" w:eastAsia="zh-CN"/>
              </w:rPr>
              <w:t>工程量据实结算</w:t>
            </w:r>
            <w:r>
              <w:rPr>
                <w:rFonts w:hint="eastAsia" w:ascii="宋体" w:hAnsi="宋体"/>
                <w:sz w:val="21"/>
                <w:szCs w:val="21"/>
                <w:highlight w:val="none"/>
              </w:rPr>
              <w:t>。</w:t>
            </w:r>
          </w:p>
        </w:tc>
      </w:tr>
    </w:tbl>
    <w:p w14:paraId="4D4FF2A1">
      <w:pPr>
        <w:pStyle w:val="2"/>
        <w:rPr>
          <w:rFonts w:hint="eastAsia" w:ascii="宋体" w:hAnsi="宋体" w:eastAsia="宋体" w:cs="宋体"/>
          <w:b/>
          <w:bCs/>
          <w:spacing w:val="5"/>
          <w:sz w:val="31"/>
          <w:szCs w:val="31"/>
          <w:lang w:val="en-US" w:eastAsia="zh-CN"/>
        </w:rPr>
      </w:pPr>
    </w:p>
    <w:p w14:paraId="014D39BF">
      <w:pPr>
        <w:pStyle w:val="2"/>
        <w:rPr>
          <w:rFonts w:hint="eastAsia" w:ascii="宋体" w:hAnsi="宋体" w:eastAsia="宋体" w:cs="宋体"/>
          <w:b/>
          <w:bCs/>
          <w:spacing w:val="5"/>
          <w:sz w:val="31"/>
          <w:szCs w:val="31"/>
          <w:lang w:val="en-US" w:eastAsia="zh-CN"/>
        </w:rPr>
      </w:pPr>
    </w:p>
    <w:p w14:paraId="61AA9573">
      <w:pPr>
        <w:pStyle w:val="2"/>
        <w:rPr>
          <w:rFonts w:hint="eastAsia" w:ascii="宋体" w:hAnsi="宋体" w:eastAsia="宋体" w:cs="宋体"/>
          <w:b/>
          <w:bCs/>
          <w:spacing w:val="5"/>
          <w:sz w:val="31"/>
          <w:szCs w:val="31"/>
          <w:lang w:val="en-US" w:eastAsia="zh-CN"/>
        </w:rPr>
      </w:pPr>
    </w:p>
    <w:p w14:paraId="00CBEF93">
      <w:pPr>
        <w:pStyle w:val="2"/>
        <w:rPr>
          <w:rFonts w:hint="eastAsia" w:ascii="宋体" w:hAnsi="宋体" w:eastAsia="宋体" w:cs="宋体"/>
          <w:b/>
          <w:bCs/>
          <w:spacing w:val="5"/>
          <w:sz w:val="31"/>
          <w:szCs w:val="31"/>
          <w:lang w:val="en-US" w:eastAsia="zh-CN"/>
        </w:rPr>
      </w:pPr>
    </w:p>
    <w:p w14:paraId="3C5EA127">
      <w:pPr>
        <w:pStyle w:val="6"/>
      </w:pPr>
    </w:p>
    <w:p w14:paraId="4F98279F">
      <w:pPr>
        <w:sectPr>
          <w:footerReference r:id="rId18" w:type="default"/>
          <w:pgSz w:w="11906" w:h="16839"/>
          <w:pgMar w:top="1431" w:right="1168" w:bottom="1362" w:left="1168" w:header="0" w:footer="1200" w:gutter="0"/>
          <w:cols w:space="720" w:num="1"/>
        </w:sectPr>
      </w:pPr>
    </w:p>
    <w:p w14:paraId="6D1D8CE6">
      <w:pPr>
        <w:spacing w:before="101" w:line="225" w:lineRule="auto"/>
        <w:ind w:left="644"/>
        <w:rPr>
          <w:rFonts w:ascii="宋体" w:hAnsi="宋体" w:eastAsia="宋体" w:cs="宋体"/>
          <w:sz w:val="31"/>
          <w:szCs w:val="31"/>
        </w:rPr>
      </w:pPr>
      <w:r>
        <w:rPr>
          <w:rFonts w:ascii="宋体" w:hAnsi="宋体" w:eastAsia="宋体" w:cs="宋体"/>
          <w:b/>
          <w:bCs/>
          <w:spacing w:val="13"/>
          <w:sz w:val="31"/>
          <w:szCs w:val="31"/>
        </w:rPr>
        <w:t>四、营业执照、开户许可证、资质等相关证明文件</w:t>
      </w:r>
    </w:p>
    <w:p w14:paraId="1EBB2A9F">
      <w:pPr>
        <w:spacing w:line="225" w:lineRule="auto"/>
        <w:rPr>
          <w:rFonts w:ascii="宋体" w:hAnsi="宋体" w:eastAsia="宋体" w:cs="宋体"/>
          <w:sz w:val="31"/>
          <w:szCs w:val="31"/>
        </w:rPr>
        <w:sectPr>
          <w:footerReference r:id="rId19" w:type="default"/>
          <w:pgSz w:w="11906" w:h="16839"/>
          <w:pgMar w:top="1431" w:right="1785" w:bottom="1362" w:left="1785" w:header="0" w:footer="1200" w:gutter="0"/>
          <w:cols w:space="720" w:num="1"/>
        </w:sectPr>
      </w:pPr>
    </w:p>
    <w:p w14:paraId="31B89590">
      <w:pPr>
        <w:spacing w:before="101" w:line="224" w:lineRule="auto"/>
        <w:jc w:val="right"/>
        <w:rPr>
          <w:rFonts w:ascii="宋体" w:hAnsi="宋体" w:eastAsia="宋体" w:cs="宋体"/>
          <w:sz w:val="31"/>
          <w:szCs w:val="31"/>
        </w:rPr>
      </w:pPr>
      <w:r>
        <w:rPr>
          <w:rFonts w:ascii="宋体" w:hAnsi="宋体" w:eastAsia="宋体" w:cs="宋体"/>
          <w:b/>
          <w:bCs/>
          <w:spacing w:val="4"/>
          <w:sz w:val="31"/>
          <w:szCs w:val="31"/>
        </w:rPr>
        <w:t>五、近三年不少于</w:t>
      </w:r>
      <w:r>
        <w:rPr>
          <w:rFonts w:ascii="宋体" w:hAnsi="宋体" w:eastAsia="宋体" w:cs="宋体"/>
          <w:spacing w:val="-28"/>
          <w:sz w:val="31"/>
          <w:szCs w:val="31"/>
        </w:rPr>
        <w:t xml:space="preserve"> </w:t>
      </w:r>
      <w:r>
        <w:rPr>
          <w:rFonts w:hint="eastAsia" w:ascii="宋体" w:hAnsi="宋体" w:eastAsia="宋体" w:cs="宋体"/>
          <w:b/>
          <w:bCs/>
          <w:spacing w:val="4"/>
          <w:sz w:val="31"/>
          <w:szCs w:val="31"/>
          <w:lang w:val="en-US" w:eastAsia="zh-CN"/>
        </w:rPr>
        <w:t>3</w:t>
      </w:r>
      <w:r>
        <w:rPr>
          <w:rFonts w:ascii="宋体" w:hAnsi="宋体" w:eastAsia="宋体" w:cs="宋体"/>
          <w:spacing w:val="-55"/>
          <w:sz w:val="31"/>
          <w:szCs w:val="31"/>
        </w:rPr>
        <w:t xml:space="preserve"> </w:t>
      </w:r>
      <w:r>
        <w:rPr>
          <w:rFonts w:ascii="宋体" w:hAnsi="宋体" w:eastAsia="宋体" w:cs="宋体"/>
          <w:b/>
          <w:bCs/>
          <w:spacing w:val="4"/>
          <w:sz w:val="31"/>
          <w:szCs w:val="31"/>
        </w:rPr>
        <w:t>个类似工程业绩及合同（复印件加盖公章）</w:t>
      </w:r>
    </w:p>
    <w:p w14:paraId="15C2EE32">
      <w:pPr>
        <w:spacing w:line="224" w:lineRule="auto"/>
        <w:rPr>
          <w:rFonts w:ascii="宋体" w:hAnsi="宋体" w:eastAsia="宋体" w:cs="宋体"/>
          <w:sz w:val="31"/>
          <w:szCs w:val="31"/>
        </w:rPr>
        <w:sectPr>
          <w:footerReference r:id="rId20" w:type="default"/>
          <w:pgSz w:w="11906" w:h="16839"/>
          <w:pgMar w:top="1431" w:right="1345" w:bottom="1362" w:left="1603" w:header="0" w:footer="1200" w:gutter="0"/>
          <w:cols w:space="720" w:num="1"/>
        </w:sectPr>
      </w:pPr>
    </w:p>
    <w:p w14:paraId="0AC06343">
      <w:pPr>
        <w:spacing w:before="100" w:line="225" w:lineRule="auto"/>
        <w:ind w:left="3109"/>
        <w:rPr>
          <w:rFonts w:ascii="宋体" w:hAnsi="宋体" w:eastAsia="宋体" w:cs="宋体"/>
          <w:sz w:val="31"/>
          <w:szCs w:val="31"/>
        </w:rPr>
      </w:pPr>
      <w:r>
        <w:rPr>
          <w:rFonts w:ascii="宋体" w:hAnsi="宋体" w:eastAsia="宋体" w:cs="宋体"/>
          <w:b/>
          <w:bCs/>
          <w:spacing w:val="12"/>
          <w:sz w:val="31"/>
          <w:szCs w:val="31"/>
        </w:rPr>
        <w:t>六、信用证明资料</w:t>
      </w:r>
    </w:p>
    <w:p w14:paraId="70DAC5A5">
      <w:pPr>
        <w:spacing w:before="159" w:line="219" w:lineRule="auto"/>
        <w:rPr>
          <w:rFonts w:ascii="宋体" w:hAnsi="宋体" w:eastAsia="宋体" w:cs="宋体"/>
          <w:sz w:val="28"/>
          <w:szCs w:val="28"/>
        </w:rPr>
      </w:pPr>
      <w:r>
        <w:rPr>
          <w:rFonts w:ascii="宋体" w:hAnsi="宋体" w:eastAsia="宋体" w:cs="宋体"/>
          <w:spacing w:val="-1"/>
          <w:sz w:val="28"/>
          <w:szCs w:val="28"/>
        </w:rPr>
        <w:t>包含且不限于以下材料：</w:t>
      </w:r>
    </w:p>
    <w:p w14:paraId="30C99AAA">
      <w:pPr>
        <w:spacing w:before="291" w:line="220" w:lineRule="auto"/>
        <w:ind w:left="566"/>
        <w:rPr>
          <w:rFonts w:ascii="宋体" w:hAnsi="宋体" w:eastAsia="宋体" w:cs="宋体"/>
          <w:sz w:val="28"/>
          <w:szCs w:val="28"/>
        </w:rPr>
      </w:pPr>
      <w:r>
        <w:rPr>
          <w:rFonts w:ascii="宋体" w:hAnsi="宋体" w:eastAsia="宋体" w:cs="宋体"/>
          <w:spacing w:val="-1"/>
          <w:sz w:val="28"/>
          <w:szCs w:val="28"/>
        </w:rPr>
        <w:t>不得列入国家企业信用信息公示系统</w:t>
      </w:r>
    </w:p>
    <w:p w14:paraId="7F948A18">
      <w:pPr>
        <w:spacing w:before="290" w:line="398" w:lineRule="auto"/>
        <w:ind w:left="2" w:right="97" w:firstLine="5"/>
        <w:rPr>
          <w:rFonts w:ascii="宋体" w:hAnsi="宋体" w:eastAsia="宋体" w:cs="宋体"/>
          <w:sz w:val="28"/>
          <w:szCs w:val="28"/>
        </w:rPr>
      </w:pPr>
      <w:r>
        <w:rPr>
          <w:rFonts w:ascii="宋体" w:hAnsi="宋体" w:eastAsia="宋体" w:cs="宋体"/>
          <w:sz w:val="28"/>
          <w:szCs w:val="28"/>
        </w:rPr>
        <w:t>（</w:t>
      </w:r>
      <w:r>
        <w:fldChar w:fldCharType="begin"/>
      </w:r>
      <w:r>
        <w:instrText xml:space="preserve"> HYPERLINK "http://www.gsxt.gov.cn/index.html" </w:instrText>
      </w:r>
      <w:r>
        <w:fldChar w:fldCharType="separate"/>
      </w:r>
      <w:r>
        <w:rPr>
          <w:rFonts w:ascii="宋体" w:hAnsi="宋体" w:eastAsia="宋体" w:cs="宋体"/>
          <w:sz w:val="28"/>
          <w:szCs w:val="28"/>
        </w:rPr>
        <w:t>http://www.gsxt.gov.cn/index.</w:t>
      </w:r>
      <w:r>
        <w:rPr>
          <w:rFonts w:ascii="宋体" w:hAnsi="宋体" w:eastAsia="宋体" w:cs="宋体"/>
          <w:spacing w:val="-1"/>
          <w:sz w:val="28"/>
          <w:szCs w:val="28"/>
        </w:rPr>
        <w:t>html</w:t>
      </w:r>
      <w:r>
        <w:rPr>
          <w:rFonts w:ascii="宋体" w:hAnsi="宋体" w:eastAsia="宋体" w:cs="宋体"/>
          <w:spacing w:val="-1"/>
          <w:sz w:val="28"/>
          <w:szCs w:val="28"/>
        </w:rPr>
        <w:fldChar w:fldCharType="end"/>
      </w:r>
      <w:r>
        <w:rPr>
          <w:rFonts w:ascii="宋体" w:hAnsi="宋体" w:eastAsia="宋体" w:cs="宋体"/>
          <w:spacing w:val="-1"/>
          <w:sz w:val="28"/>
          <w:szCs w:val="28"/>
        </w:rPr>
        <w:t>）严重违法失信企业名单（黑名</w:t>
      </w:r>
      <w:r>
        <w:rPr>
          <w:rFonts w:ascii="宋体" w:hAnsi="宋体" w:eastAsia="宋体" w:cs="宋体"/>
          <w:sz w:val="28"/>
          <w:szCs w:val="28"/>
        </w:rPr>
        <w:t xml:space="preserve"> </w:t>
      </w:r>
      <w:r>
        <w:rPr>
          <w:rFonts w:ascii="宋体" w:hAnsi="宋体" w:eastAsia="宋体" w:cs="宋体"/>
          <w:spacing w:val="-1"/>
          <w:sz w:val="28"/>
          <w:szCs w:val="28"/>
        </w:rPr>
        <w:t>单）、不得列入信用中国失信惩戒名单、不得列入中国执行信息公开</w:t>
      </w:r>
    </w:p>
    <w:p w14:paraId="6600B558">
      <w:pPr>
        <w:spacing w:before="42" w:line="402" w:lineRule="auto"/>
        <w:ind w:firstLine="8"/>
        <w:rPr>
          <w:rFonts w:ascii="宋体" w:hAnsi="宋体" w:eastAsia="宋体" w:cs="宋体"/>
          <w:sz w:val="28"/>
          <w:szCs w:val="28"/>
        </w:rPr>
      </w:pPr>
      <w:r>
        <w:rPr>
          <w:rFonts w:ascii="宋体" w:hAnsi="宋体" w:eastAsia="宋体" w:cs="宋体"/>
          <w:spacing w:val="-3"/>
          <w:sz w:val="28"/>
          <w:szCs w:val="28"/>
        </w:rPr>
        <w:t>（</w:t>
      </w:r>
      <w:r>
        <w:fldChar w:fldCharType="begin"/>
      </w:r>
      <w:r>
        <w:instrText xml:space="preserve"> HYPERLINK "http://zxgk.court.gov.cn/shixin/" </w:instrText>
      </w:r>
      <w:r>
        <w:fldChar w:fldCharType="separate"/>
      </w:r>
      <w:r>
        <w:rPr>
          <w:rFonts w:ascii="宋体" w:hAnsi="宋体" w:eastAsia="宋体" w:cs="宋体"/>
          <w:spacing w:val="-3"/>
          <w:sz w:val="28"/>
          <w:szCs w:val="28"/>
        </w:rPr>
        <w:t>http://zxgk.court.gov.cn/shixin/</w:t>
      </w:r>
      <w:r>
        <w:rPr>
          <w:rFonts w:ascii="宋体" w:hAnsi="宋体" w:eastAsia="宋体" w:cs="宋体"/>
          <w:spacing w:val="-3"/>
          <w:sz w:val="28"/>
          <w:szCs w:val="28"/>
        </w:rPr>
        <w:fldChar w:fldCharType="end"/>
      </w:r>
      <w:r>
        <w:rPr>
          <w:rFonts w:ascii="宋体" w:hAnsi="宋体" w:eastAsia="宋体" w:cs="宋体"/>
          <w:spacing w:val="-3"/>
          <w:sz w:val="28"/>
          <w:szCs w:val="28"/>
        </w:rPr>
        <w:t>）失信被执行人名单（被执行人包</w:t>
      </w:r>
      <w:r>
        <w:rPr>
          <w:rFonts w:ascii="宋体" w:hAnsi="宋体" w:eastAsia="宋体" w:cs="宋体"/>
          <w:spacing w:val="10"/>
          <w:sz w:val="28"/>
          <w:szCs w:val="28"/>
        </w:rPr>
        <w:t xml:space="preserve"> </w:t>
      </w:r>
      <w:r>
        <w:rPr>
          <w:rFonts w:ascii="宋体" w:hAnsi="宋体" w:eastAsia="宋体" w:cs="宋体"/>
          <w:spacing w:val="-5"/>
          <w:sz w:val="28"/>
          <w:szCs w:val="28"/>
        </w:rPr>
        <w:t>括投标人、法定代表人）。（提供以上三个网站四项内容查询结果截图</w:t>
      </w:r>
      <w:r>
        <w:rPr>
          <w:rFonts w:ascii="宋体" w:hAnsi="宋体" w:eastAsia="宋体" w:cs="宋体"/>
          <w:spacing w:val="-69"/>
          <w:w w:val="92"/>
          <w:sz w:val="28"/>
          <w:szCs w:val="28"/>
        </w:rPr>
        <w:t>）；</w:t>
      </w:r>
      <w:r>
        <w:rPr>
          <w:rFonts w:ascii="宋体" w:hAnsi="宋体" w:eastAsia="宋体" w:cs="宋体"/>
          <w:spacing w:val="5"/>
          <w:sz w:val="28"/>
          <w:szCs w:val="28"/>
        </w:rPr>
        <w:t xml:space="preserve"> </w:t>
      </w:r>
      <w:r>
        <w:rPr>
          <w:rFonts w:ascii="宋体" w:hAnsi="宋体" w:eastAsia="宋体" w:cs="宋体"/>
          <w:spacing w:val="-1"/>
          <w:sz w:val="28"/>
          <w:szCs w:val="28"/>
        </w:rPr>
        <w:t>未列入《延长石油集团失信交易商名单》（承诺书加盖公章）。</w:t>
      </w:r>
    </w:p>
    <w:p w14:paraId="193C7DC4">
      <w:pPr>
        <w:spacing w:line="402" w:lineRule="auto"/>
        <w:rPr>
          <w:rFonts w:ascii="宋体" w:hAnsi="宋体" w:eastAsia="宋体" w:cs="宋体"/>
          <w:sz w:val="28"/>
          <w:szCs w:val="28"/>
        </w:rPr>
        <w:sectPr>
          <w:footerReference r:id="rId21" w:type="default"/>
          <w:pgSz w:w="11906" w:h="16839"/>
          <w:pgMar w:top="1431" w:right="1400" w:bottom="1362" w:left="1597" w:header="0" w:footer="1200" w:gutter="0"/>
          <w:cols w:space="720" w:num="1"/>
        </w:sectPr>
      </w:pPr>
    </w:p>
    <w:p w14:paraId="77CF5A88">
      <w:pPr>
        <w:spacing w:before="100" w:line="225" w:lineRule="auto"/>
        <w:ind w:left="2736"/>
        <w:rPr>
          <w:rFonts w:ascii="宋体" w:hAnsi="宋体" w:eastAsia="宋体" w:cs="宋体"/>
          <w:sz w:val="31"/>
          <w:szCs w:val="31"/>
        </w:rPr>
      </w:pPr>
      <w:r>
        <w:rPr>
          <w:rFonts w:ascii="宋体" w:hAnsi="宋体" w:eastAsia="宋体" w:cs="宋体"/>
          <w:b/>
          <w:bCs/>
          <w:spacing w:val="13"/>
          <w:sz w:val="31"/>
          <w:szCs w:val="31"/>
        </w:rPr>
        <w:t>七、特种作业人员及设备</w:t>
      </w:r>
    </w:p>
    <w:p w14:paraId="0BCD6206">
      <w:pPr>
        <w:pStyle w:val="6"/>
        <w:spacing w:line="246" w:lineRule="auto"/>
      </w:pPr>
    </w:p>
    <w:p w14:paraId="35E20CEE">
      <w:pPr>
        <w:pStyle w:val="6"/>
        <w:spacing w:line="247" w:lineRule="auto"/>
      </w:pPr>
    </w:p>
    <w:p w14:paraId="39E1C9A8">
      <w:pPr>
        <w:pStyle w:val="6"/>
        <w:spacing w:line="247" w:lineRule="auto"/>
      </w:pPr>
    </w:p>
    <w:p w14:paraId="3468F144">
      <w:pPr>
        <w:spacing w:before="78" w:line="219" w:lineRule="auto"/>
        <w:ind w:left="3219"/>
        <w:rPr>
          <w:rFonts w:ascii="宋体" w:hAnsi="宋体" w:eastAsia="宋体" w:cs="宋体"/>
          <w:sz w:val="24"/>
          <w:szCs w:val="24"/>
        </w:rPr>
      </w:pPr>
      <w:r>
        <w:rPr>
          <w:rFonts w:ascii="宋体" w:hAnsi="宋体" w:eastAsia="宋体" w:cs="宋体"/>
          <w:b/>
          <w:bCs/>
          <w:spacing w:val="-3"/>
          <w:sz w:val="24"/>
          <w:szCs w:val="24"/>
        </w:rPr>
        <w:t>特种作业人员投入计划表</w:t>
      </w:r>
    </w:p>
    <w:p w14:paraId="03C28DB1">
      <w:pPr>
        <w:spacing w:line="138" w:lineRule="auto"/>
        <w:rPr>
          <w:rFonts w:ascii="Arial"/>
          <w:sz w:val="2"/>
        </w:rPr>
      </w:pPr>
    </w:p>
    <w:tbl>
      <w:tblPr>
        <w:tblStyle w:val="9"/>
        <w:tblW w:w="8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49"/>
        <w:gridCol w:w="705"/>
        <w:gridCol w:w="660"/>
        <w:gridCol w:w="678"/>
        <w:gridCol w:w="1451"/>
        <w:gridCol w:w="1295"/>
        <w:gridCol w:w="1151"/>
        <w:gridCol w:w="1384"/>
      </w:tblGrid>
      <w:tr w14:paraId="1A6D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83" w:type="dxa"/>
            <w:vMerge w:val="restart"/>
            <w:tcBorders>
              <w:bottom w:val="nil"/>
            </w:tcBorders>
            <w:vAlign w:val="top"/>
          </w:tcPr>
          <w:p w14:paraId="034DEA14">
            <w:pPr>
              <w:spacing w:line="354" w:lineRule="auto"/>
              <w:rPr>
                <w:rFonts w:ascii="Arial"/>
                <w:sz w:val="21"/>
              </w:rPr>
            </w:pPr>
          </w:p>
          <w:p w14:paraId="26645A93">
            <w:pPr>
              <w:pStyle w:val="10"/>
              <w:spacing w:before="65" w:line="229" w:lineRule="auto"/>
              <w:ind w:left="136"/>
            </w:pPr>
            <w:r>
              <w:rPr>
                <w:spacing w:val="5"/>
              </w:rPr>
              <w:t>序号</w:t>
            </w:r>
          </w:p>
        </w:tc>
        <w:tc>
          <w:tcPr>
            <w:tcW w:w="749" w:type="dxa"/>
            <w:vMerge w:val="restart"/>
            <w:tcBorders>
              <w:bottom w:val="nil"/>
            </w:tcBorders>
            <w:vAlign w:val="top"/>
          </w:tcPr>
          <w:p w14:paraId="0328B488">
            <w:pPr>
              <w:spacing w:line="354" w:lineRule="auto"/>
              <w:rPr>
                <w:rFonts w:ascii="Arial"/>
                <w:sz w:val="21"/>
              </w:rPr>
            </w:pPr>
          </w:p>
          <w:p w14:paraId="792327C3">
            <w:pPr>
              <w:pStyle w:val="10"/>
              <w:spacing w:before="65" w:line="228" w:lineRule="auto"/>
              <w:ind w:left="169"/>
            </w:pPr>
            <w:r>
              <w:rPr>
                <w:spacing w:val="4"/>
              </w:rPr>
              <w:t>姓名</w:t>
            </w:r>
          </w:p>
        </w:tc>
        <w:tc>
          <w:tcPr>
            <w:tcW w:w="705" w:type="dxa"/>
            <w:vMerge w:val="restart"/>
            <w:tcBorders>
              <w:bottom w:val="nil"/>
            </w:tcBorders>
            <w:vAlign w:val="top"/>
          </w:tcPr>
          <w:p w14:paraId="126C50B1">
            <w:pPr>
              <w:spacing w:line="354" w:lineRule="auto"/>
              <w:rPr>
                <w:rFonts w:ascii="Arial"/>
                <w:sz w:val="21"/>
              </w:rPr>
            </w:pPr>
          </w:p>
          <w:p w14:paraId="114D9DC8">
            <w:pPr>
              <w:pStyle w:val="10"/>
              <w:spacing w:before="65" w:line="228" w:lineRule="auto"/>
              <w:ind w:left="149"/>
            </w:pPr>
            <w:r>
              <w:rPr>
                <w:spacing w:val="3"/>
              </w:rPr>
              <w:t>性别</w:t>
            </w:r>
          </w:p>
        </w:tc>
        <w:tc>
          <w:tcPr>
            <w:tcW w:w="660" w:type="dxa"/>
            <w:vMerge w:val="restart"/>
            <w:tcBorders>
              <w:bottom w:val="nil"/>
            </w:tcBorders>
            <w:vAlign w:val="top"/>
          </w:tcPr>
          <w:p w14:paraId="09CE63E2">
            <w:pPr>
              <w:spacing w:line="354" w:lineRule="auto"/>
              <w:rPr>
                <w:rFonts w:ascii="Arial"/>
                <w:sz w:val="21"/>
              </w:rPr>
            </w:pPr>
          </w:p>
          <w:p w14:paraId="6C4F6EA9">
            <w:pPr>
              <w:pStyle w:val="10"/>
              <w:spacing w:before="65" w:line="228" w:lineRule="auto"/>
              <w:ind w:left="124"/>
            </w:pPr>
            <w:r>
              <w:rPr>
                <w:spacing w:val="4"/>
              </w:rPr>
              <w:t>年龄</w:t>
            </w:r>
          </w:p>
        </w:tc>
        <w:tc>
          <w:tcPr>
            <w:tcW w:w="678" w:type="dxa"/>
            <w:vMerge w:val="restart"/>
            <w:tcBorders>
              <w:bottom w:val="nil"/>
            </w:tcBorders>
            <w:vAlign w:val="top"/>
          </w:tcPr>
          <w:p w14:paraId="1FE9AB10">
            <w:pPr>
              <w:spacing w:line="354" w:lineRule="auto"/>
              <w:rPr>
                <w:rFonts w:ascii="Arial"/>
                <w:sz w:val="21"/>
              </w:rPr>
            </w:pPr>
          </w:p>
          <w:p w14:paraId="2C6D20E9">
            <w:pPr>
              <w:pStyle w:val="10"/>
              <w:spacing w:before="65" w:line="230" w:lineRule="auto"/>
              <w:ind w:left="134"/>
            </w:pPr>
            <w:r>
              <w:rPr>
                <w:spacing w:val="4"/>
              </w:rPr>
              <w:t>职称</w:t>
            </w:r>
          </w:p>
        </w:tc>
        <w:tc>
          <w:tcPr>
            <w:tcW w:w="5281" w:type="dxa"/>
            <w:gridSpan w:val="4"/>
            <w:vAlign w:val="top"/>
          </w:tcPr>
          <w:p w14:paraId="2D4B969A">
            <w:pPr>
              <w:pStyle w:val="10"/>
              <w:spacing w:before="142" w:line="228" w:lineRule="auto"/>
              <w:ind w:left="2339"/>
            </w:pPr>
            <w:r>
              <w:rPr>
                <w:spacing w:val="3"/>
              </w:rPr>
              <w:t>资格证</w:t>
            </w:r>
          </w:p>
        </w:tc>
      </w:tr>
      <w:tr w14:paraId="4068D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3" w:type="dxa"/>
            <w:vMerge w:val="continue"/>
            <w:tcBorders>
              <w:top w:val="nil"/>
            </w:tcBorders>
            <w:vAlign w:val="top"/>
          </w:tcPr>
          <w:p w14:paraId="336B0D21">
            <w:pPr>
              <w:rPr>
                <w:rFonts w:ascii="Arial"/>
                <w:sz w:val="21"/>
              </w:rPr>
            </w:pPr>
          </w:p>
        </w:tc>
        <w:tc>
          <w:tcPr>
            <w:tcW w:w="749" w:type="dxa"/>
            <w:vMerge w:val="continue"/>
            <w:tcBorders>
              <w:top w:val="nil"/>
            </w:tcBorders>
            <w:vAlign w:val="top"/>
          </w:tcPr>
          <w:p w14:paraId="480DC8A9">
            <w:pPr>
              <w:rPr>
                <w:rFonts w:ascii="Arial"/>
                <w:sz w:val="21"/>
              </w:rPr>
            </w:pPr>
          </w:p>
        </w:tc>
        <w:tc>
          <w:tcPr>
            <w:tcW w:w="705" w:type="dxa"/>
            <w:vMerge w:val="continue"/>
            <w:tcBorders>
              <w:top w:val="nil"/>
            </w:tcBorders>
            <w:vAlign w:val="top"/>
          </w:tcPr>
          <w:p w14:paraId="6D705D4D">
            <w:pPr>
              <w:rPr>
                <w:rFonts w:ascii="Arial"/>
                <w:sz w:val="21"/>
              </w:rPr>
            </w:pPr>
          </w:p>
        </w:tc>
        <w:tc>
          <w:tcPr>
            <w:tcW w:w="660" w:type="dxa"/>
            <w:vMerge w:val="continue"/>
            <w:tcBorders>
              <w:top w:val="nil"/>
            </w:tcBorders>
            <w:vAlign w:val="top"/>
          </w:tcPr>
          <w:p w14:paraId="57C9087F">
            <w:pPr>
              <w:rPr>
                <w:rFonts w:ascii="Arial"/>
                <w:sz w:val="21"/>
              </w:rPr>
            </w:pPr>
          </w:p>
        </w:tc>
        <w:tc>
          <w:tcPr>
            <w:tcW w:w="678" w:type="dxa"/>
            <w:vMerge w:val="continue"/>
            <w:tcBorders>
              <w:top w:val="nil"/>
            </w:tcBorders>
            <w:vAlign w:val="top"/>
          </w:tcPr>
          <w:p w14:paraId="4E3F519E">
            <w:pPr>
              <w:rPr>
                <w:rFonts w:ascii="Arial"/>
                <w:sz w:val="21"/>
              </w:rPr>
            </w:pPr>
          </w:p>
        </w:tc>
        <w:tc>
          <w:tcPr>
            <w:tcW w:w="1451" w:type="dxa"/>
            <w:vAlign w:val="top"/>
          </w:tcPr>
          <w:p w14:paraId="47F129C8">
            <w:pPr>
              <w:pStyle w:val="10"/>
              <w:spacing w:before="171" w:line="228" w:lineRule="auto"/>
              <w:ind w:left="313"/>
            </w:pPr>
            <w:r>
              <w:rPr>
                <w:spacing w:val="6"/>
              </w:rPr>
              <w:t>发证单位</w:t>
            </w:r>
          </w:p>
        </w:tc>
        <w:tc>
          <w:tcPr>
            <w:tcW w:w="1295" w:type="dxa"/>
            <w:vAlign w:val="top"/>
          </w:tcPr>
          <w:p w14:paraId="3E7229EE">
            <w:pPr>
              <w:pStyle w:val="10"/>
              <w:spacing w:before="171" w:line="228" w:lineRule="auto"/>
              <w:ind w:left="237"/>
            </w:pPr>
            <w:r>
              <w:rPr>
                <w:spacing w:val="6"/>
              </w:rPr>
              <w:t>发证时间</w:t>
            </w:r>
          </w:p>
        </w:tc>
        <w:tc>
          <w:tcPr>
            <w:tcW w:w="1151" w:type="dxa"/>
            <w:vAlign w:val="top"/>
          </w:tcPr>
          <w:p w14:paraId="164AAD34">
            <w:pPr>
              <w:pStyle w:val="10"/>
              <w:spacing w:before="170" w:line="227" w:lineRule="auto"/>
              <w:ind w:left="163"/>
            </w:pPr>
            <w:r>
              <w:rPr>
                <w:spacing w:val="7"/>
              </w:rPr>
              <w:t>证书编号</w:t>
            </w:r>
          </w:p>
        </w:tc>
        <w:tc>
          <w:tcPr>
            <w:tcW w:w="1384" w:type="dxa"/>
            <w:vAlign w:val="top"/>
          </w:tcPr>
          <w:p w14:paraId="4FE7067B">
            <w:pPr>
              <w:pStyle w:val="10"/>
              <w:spacing w:before="170" w:line="227" w:lineRule="auto"/>
              <w:ind w:left="173"/>
            </w:pPr>
            <w:r>
              <w:rPr>
                <w:spacing w:val="8"/>
              </w:rPr>
              <w:t>证书有效期</w:t>
            </w:r>
          </w:p>
        </w:tc>
      </w:tr>
      <w:tr w14:paraId="010FA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83" w:type="dxa"/>
            <w:vAlign w:val="top"/>
          </w:tcPr>
          <w:p w14:paraId="0DC9B3E5">
            <w:pPr>
              <w:rPr>
                <w:rFonts w:ascii="Arial"/>
                <w:sz w:val="21"/>
              </w:rPr>
            </w:pPr>
          </w:p>
        </w:tc>
        <w:tc>
          <w:tcPr>
            <w:tcW w:w="749" w:type="dxa"/>
            <w:vAlign w:val="top"/>
          </w:tcPr>
          <w:p w14:paraId="690C4250">
            <w:pPr>
              <w:rPr>
                <w:rFonts w:ascii="Arial"/>
                <w:sz w:val="21"/>
              </w:rPr>
            </w:pPr>
          </w:p>
        </w:tc>
        <w:tc>
          <w:tcPr>
            <w:tcW w:w="705" w:type="dxa"/>
            <w:vAlign w:val="top"/>
          </w:tcPr>
          <w:p w14:paraId="3E2BE9A8">
            <w:pPr>
              <w:rPr>
                <w:rFonts w:ascii="Arial"/>
                <w:sz w:val="21"/>
              </w:rPr>
            </w:pPr>
          </w:p>
        </w:tc>
        <w:tc>
          <w:tcPr>
            <w:tcW w:w="660" w:type="dxa"/>
            <w:vAlign w:val="top"/>
          </w:tcPr>
          <w:p w14:paraId="5C43EED0">
            <w:pPr>
              <w:rPr>
                <w:rFonts w:ascii="Arial"/>
                <w:sz w:val="21"/>
              </w:rPr>
            </w:pPr>
          </w:p>
        </w:tc>
        <w:tc>
          <w:tcPr>
            <w:tcW w:w="678" w:type="dxa"/>
            <w:vAlign w:val="top"/>
          </w:tcPr>
          <w:p w14:paraId="73C54A1A">
            <w:pPr>
              <w:rPr>
                <w:rFonts w:ascii="Arial"/>
                <w:sz w:val="21"/>
              </w:rPr>
            </w:pPr>
          </w:p>
        </w:tc>
        <w:tc>
          <w:tcPr>
            <w:tcW w:w="1451" w:type="dxa"/>
            <w:vAlign w:val="top"/>
          </w:tcPr>
          <w:p w14:paraId="6D321E4F">
            <w:pPr>
              <w:rPr>
                <w:rFonts w:ascii="Arial"/>
                <w:sz w:val="21"/>
              </w:rPr>
            </w:pPr>
          </w:p>
        </w:tc>
        <w:tc>
          <w:tcPr>
            <w:tcW w:w="1295" w:type="dxa"/>
            <w:vAlign w:val="top"/>
          </w:tcPr>
          <w:p w14:paraId="5B1B8662">
            <w:pPr>
              <w:rPr>
                <w:rFonts w:ascii="Arial"/>
                <w:sz w:val="21"/>
              </w:rPr>
            </w:pPr>
          </w:p>
        </w:tc>
        <w:tc>
          <w:tcPr>
            <w:tcW w:w="1151" w:type="dxa"/>
            <w:vAlign w:val="top"/>
          </w:tcPr>
          <w:p w14:paraId="16F7AEB5">
            <w:pPr>
              <w:rPr>
                <w:rFonts w:ascii="Arial"/>
                <w:sz w:val="21"/>
              </w:rPr>
            </w:pPr>
          </w:p>
        </w:tc>
        <w:tc>
          <w:tcPr>
            <w:tcW w:w="1384" w:type="dxa"/>
            <w:vAlign w:val="top"/>
          </w:tcPr>
          <w:p w14:paraId="1965E9E5">
            <w:pPr>
              <w:rPr>
                <w:rFonts w:ascii="Arial"/>
                <w:sz w:val="21"/>
              </w:rPr>
            </w:pPr>
          </w:p>
        </w:tc>
      </w:tr>
    </w:tbl>
    <w:p w14:paraId="39BB5244">
      <w:pPr>
        <w:pStyle w:val="6"/>
        <w:spacing w:line="242" w:lineRule="auto"/>
      </w:pPr>
    </w:p>
    <w:p w14:paraId="0D67DAB5">
      <w:pPr>
        <w:pStyle w:val="6"/>
        <w:spacing w:line="242" w:lineRule="auto"/>
      </w:pPr>
    </w:p>
    <w:p w14:paraId="699CA85D">
      <w:pPr>
        <w:pStyle w:val="6"/>
        <w:spacing w:line="242" w:lineRule="auto"/>
      </w:pPr>
    </w:p>
    <w:p w14:paraId="64C113D4">
      <w:pPr>
        <w:pStyle w:val="6"/>
        <w:spacing w:line="242" w:lineRule="auto"/>
      </w:pPr>
    </w:p>
    <w:p w14:paraId="615FD7D7">
      <w:pPr>
        <w:pStyle w:val="6"/>
        <w:spacing w:line="243" w:lineRule="auto"/>
      </w:pPr>
    </w:p>
    <w:p w14:paraId="55A6F546">
      <w:pPr>
        <w:pStyle w:val="6"/>
        <w:spacing w:line="243" w:lineRule="auto"/>
      </w:pPr>
    </w:p>
    <w:p w14:paraId="3E5C0D66">
      <w:pPr>
        <w:spacing w:before="78" w:line="219" w:lineRule="auto"/>
        <w:ind w:left="3458"/>
        <w:rPr>
          <w:rFonts w:ascii="宋体" w:hAnsi="宋体" w:eastAsia="宋体" w:cs="宋体"/>
          <w:sz w:val="24"/>
          <w:szCs w:val="24"/>
        </w:rPr>
      </w:pPr>
      <w:r>
        <w:rPr>
          <w:rFonts w:ascii="宋体" w:hAnsi="宋体" w:eastAsia="宋体" w:cs="宋体"/>
          <w:b/>
          <w:bCs/>
          <w:spacing w:val="-3"/>
          <w:sz w:val="24"/>
          <w:szCs w:val="24"/>
        </w:rPr>
        <w:t>施工机械投入计划表</w:t>
      </w:r>
    </w:p>
    <w:p w14:paraId="7FCDF29C">
      <w:pPr>
        <w:spacing w:line="97" w:lineRule="exact"/>
      </w:pPr>
    </w:p>
    <w:tbl>
      <w:tblPr>
        <w:tblStyle w:val="9"/>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417"/>
        <w:gridCol w:w="943"/>
        <w:gridCol w:w="1324"/>
        <w:gridCol w:w="1416"/>
        <w:gridCol w:w="1700"/>
        <w:gridCol w:w="1280"/>
      </w:tblGrid>
      <w:tr w14:paraId="3ADF2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9" w:type="dxa"/>
            <w:vAlign w:val="top"/>
          </w:tcPr>
          <w:p w14:paraId="38BFC27C">
            <w:pPr>
              <w:pStyle w:val="10"/>
              <w:spacing w:before="192" w:line="229" w:lineRule="auto"/>
              <w:ind w:left="133"/>
            </w:pPr>
            <w:r>
              <w:rPr>
                <w:spacing w:val="5"/>
              </w:rPr>
              <w:t>序号</w:t>
            </w:r>
          </w:p>
        </w:tc>
        <w:tc>
          <w:tcPr>
            <w:tcW w:w="1417" w:type="dxa"/>
            <w:vAlign w:val="top"/>
          </w:tcPr>
          <w:p w14:paraId="29A4F47A">
            <w:pPr>
              <w:pStyle w:val="10"/>
              <w:spacing w:before="192" w:line="229" w:lineRule="auto"/>
              <w:ind w:left="296"/>
            </w:pPr>
            <w:r>
              <w:rPr>
                <w:spacing w:val="6"/>
              </w:rPr>
              <w:t>设备名称</w:t>
            </w:r>
          </w:p>
        </w:tc>
        <w:tc>
          <w:tcPr>
            <w:tcW w:w="943" w:type="dxa"/>
            <w:vAlign w:val="top"/>
          </w:tcPr>
          <w:p w14:paraId="42439D9E">
            <w:pPr>
              <w:pStyle w:val="10"/>
              <w:spacing w:before="192" w:line="229" w:lineRule="auto"/>
              <w:ind w:left="272"/>
            </w:pPr>
            <w:r>
              <w:rPr>
                <w:spacing w:val="1"/>
              </w:rPr>
              <w:t>型号</w:t>
            </w:r>
          </w:p>
        </w:tc>
        <w:tc>
          <w:tcPr>
            <w:tcW w:w="1324" w:type="dxa"/>
            <w:vAlign w:val="top"/>
          </w:tcPr>
          <w:p w14:paraId="380ADBF0">
            <w:pPr>
              <w:pStyle w:val="10"/>
              <w:spacing w:before="192" w:line="228" w:lineRule="auto"/>
              <w:ind w:left="248"/>
            </w:pPr>
            <w:r>
              <w:rPr>
                <w:spacing w:val="5"/>
              </w:rPr>
              <w:t>数量(台)</w:t>
            </w:r>
          </w:p>
        </w:tc>
        <w:tc>
          <w:tcPr>
            <w:tcW w:w="1416" w:type="dxa"/>
            <w:vAlign w:val="top"/>
          </w:tcPr>
          <w:p w14:paraId="2D35A207">
            <w:pPr>
              <w:pStyle w:val="10"/>
              <w:spacing w:before="192" w:line="228" w:lineRule="auto"/>
              <w:ind w:left="294"/>
            </w:pPr>
            <w:r>
              <w:rPr>
                <w:spacing w:val="6"/>
              </w:rPr>
              <w:t>生产厂家</w:t>
            </w:r>
          </w:p>
        </w:tc>
        <w:tc>
          <w:tcPr>
            <w:tcW w:w="1700" w:type="dxa"/>
            <w:vAlign w:val="top"/>
          </w:tcPr>
          <w:p w14:paraId="7E00D44D">
            <w:pPr>
              <w:pStyle w:val="10"/>
              <w:spacing w:before="192" w:line="228" w:lineRule="auto"/>
              <w:ind w:left="329"/>
            </w:pPr>
            <w:r>
              <w:rPr>
                <w:spacing w:val="8"/>
              </w:rPr>
              <w:t>进出场日期</w:t>
            </w:r>
          </w:p>
        </w:tc>
        <w:tc>
          <w:tcPr>
            <w:tcW w:w="1280" w:type="dxa"/>
            <w:vAlign w:val="top"/>
          </w:tcPr>
          <w:p w14:paraId="7F48FD5A">
            <w:pPr>
              <w:pStyle w:val="10"/>
              <w:spacing w:before="192" w:line="228" w:lineRule="auto"/>
              <w:ind w:left="225"/>
            </w:pPr>
            <w:r>
              <w:rPr>
                <w:spacing w:val="7"/>
              </w:rPr>
              <w:t>使用部位</w:t>
            </w:r>
          </w:p>
        </w:tc>
      </w:tr>
      <w:tr w14:paraId="3625B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9" w:type="dxa"/>
            <w:vAlign w:val="top"/>
          </w:tcPr>
          <w:p w14:paraId="24719420">
            <w:pPr>
              <w:rPr>
                <w:rFonts w:ascii="Arial"/>
                <w:sz w:val="21"/>
              </w:rPr>
            </w:pPr>
          </w:p>
        </w:tc>
        <w:tc>
          <w:tcPr>
            <w:tcW w:w="1417" w:type="dxa"/>
            <w:vAlign w:val="top"/>
          </w:tcPr>
          <w:p w14:paraId="7409CEEB">
            <w:pPr>
              <w:rPr>
                <w:rFonts w:ascii="Arial"/>
                <w:sz w:val="21"/>
              </w:rPr>
            </w:pPr>
          </w:p>
        </w:tc>
        <w:tc>
          <w:tcPr>
            <w:tcW w:w="943" w:type="dxa"/>
            <w:vAlign w:val="top"/>
          </w:tcPr>
          <w:p w14:paraId="5E89783F">
            <w:pPr>
              <w:rPr>
                <w:rFonts w:ascii="Arial"/>
                <w:sz w:val="21"/>
              </w:rPr>
            </w:pPr>
          </w:p>
        </w:tc>
        <w:tc>
          <w:tcPr>
            <w:tcW w:w="1324" w:type="dxa"/>
            <w:vAlign w:val="top"/>
          </w:tcPr>
          <w:p w14:paraId="57B6D47D">
            <w:pPr>
              <w:rPr>
                <w:rFonts w:ascii="Arial"/>
                <w:sz w:val="21"/>
              </w:rPr>
            </w:pPr>
          </w:p>
        </w:tc>
        <w:tc>
          <w:tcPr>
            <w:tcW w:w="1416" w:type="dxa"/>
            <w:vAlign w:val="top"/>
          </w:tcPr>
          <w:p w14:paraId="6ABC6D14">
            <w:pPr>
              <w:rPr>
                <w:rFonts w:ascii="Arial"/>
                <w:sz w:val="21"/>
              </w:rPr>
            </w:pPr>
          </w:p>
        </w:tc>
        <w:tc>
          <w:tcPr>
            <w:tcW w:w="1700" w:type="dxa"/>
            <w:vAlign w:val="top"/>
          </w:tcPr>
          <w:p w14:paraId="5D4FE8DE">
            <w:pPr>
              <w:rPr>
                <w:rFonts w:ascii="Arial"/>
                <w:sz w:val="21"/>
              </w:rPr>
            </w:pPr>
          </w:p>
        </w:tc>
        <w:tc>
          <w:tcPr>
            <w:tcW w:w="1280" w:type="dxa"/>
            <w:vAlign w:val="top"/>
          </w:tcPr>
          <w:p w14:paraId="16C6BCBD">
            <w:pPr>
              <w:rPr>
                <w:rFonts w:ascii="Arial"/>
                <w:sz w:val="21"/>
              </w:rPr>
            </w:pPr>
          </w:p>
        </w:tc>
      </w:tr>
    </w:tbl>
    <w:p w14:paraId="74FC260A">
      <w:pPr>
        <w:pStyle w:val="6"/>
      </w:pPr>
    </w:p>
    <w:p w14:paraId="3E2A06B1">
      <w:pPr>
        <w:sectPr>
          <w:footerReference r:id="rId22" w:type="default"/>
          <w:pgSz w:w="11906" w:h="16839"/>
          <w:pgMar w:top="1431" w:right="1667" w:bottom="1362" w:left="1474" w:header="0" w:footer="1200" w:gutter="0"/>
          <w:cols w:space="720" w:num="1"/>
        </w:sectPr>
      </w:pPr>
    </w:p>
    <w:p w14:paraId="7FA4E891">
      <w:pPr>
        <w:spacing w:before="101" w:line="225" w:lineRule="auto"/>
        <w:ind w:left="2954"/>
        <w:outlineLvl w:val="1"/>
        <w:rPr>
          <w:rFonts w:ascii="宋体" w:hAnsi="宋体" w:eastAsia="宋体" w:cs="宋体"/>
          <w:sz w:val="31"/>
          <w:szCs w:val="31"/>
        </w:rPr>
      </w:pPr>
      <w:r>
        <w:rPr>
          <w:rFonts w:ascii="宋体" w:hAnsi="宋体" w:eastAsia="宋体" w:cs="宋体"/>
          <w:b/>
          <w:bCs/>
          <w:spacing w:val="5"/>
          <w:sz w:val="31"/>
          <w:szCs w:val="31"/>
        </w:rPr>
        <w:t>八、人员资历证明</w:t>
      </w:r>
    </w:p>
    <w:p w14:paraId="1A718841">
      <w:pPr>
        <w:spacing w:line="225" w:lineRule="auto"/>
        <w:rPr>
          <w:rFonts w:ascii="宋体" w:hAnsi="宋体" w:eastAsia="宋体" w:cs="宋体"/>
          <w:sz w:val="31"/>
          <w:szCs w:val="31"/>
        </w:rPr>
        <w:sectPr>
          <w:footerReference r:id="rId23" w:type="default"/>
          <w:pgSz w:w="11906" w:h="16839"/>
          <w:pgMar w:top="1431" w:right="1785" w:bottom="1360" w:left="1785" w:header="0" w:footer="1200" w:gutter="0"/>
          <w:cols w:space="720" w:num="1"/>
        </w:sectPr>
      </w:pPr>
    </w:p>
    <w:p w14:paraId="0DAE3762">
      <w:pPr>
        <w:spacing w:before="101" w:line="223" w:lineRule="auto"/>
        <w:ind w:left="1533"/>
        <w:rPr>
          <w:rFonts w:ascii="宋体" w:hAnsi="宋体" w:eastAsia="宋体" w:cs="宋体"/>
          <w:sz w:val="31"/>
          <w:szCs w:val="31"/>
        </w:rPr>
      </w:pPr>
      <w:r>
        <w:rPr>
          <w:rFonts w:ascii="宋体" w:hAnsi="宋体" w:eastAsia="宋体" w:cs="宋体"/>
          <w:b/>
          <w:bCs/>
          <w:spacing w:val="7"/>
          <w:sz w:val="31"/>
          <w:szCs w:val="31"/>
        </w:rPr>
        <w:t>九、对报价文件及合同条款的承诺和补充</w:t>
      </w:r>
    </w:p>
    <w:p w14:paraId="6F118E38">
      <w:pPr>
        <w:spacing w:before="267" w:line="220" w:lineRule="auto"/>
        <w:rPr>
          <w:rFonts w:ascii="宋体" w:hAnsi="宋体" w:eastAsia="宋体" w:cs="宋体"/>
          <w:sz w:val="28"/>
          <w:szCs w:val="28"/>
        </w:rPr>
      </w:pPr>
      <w:r>
        <w:rPr>
          <w:rFonts w:ascii="宋体" w:hAnsi="宋体" w:eastAsia="宋体" w:cs="宋体"/>
          <w:sz w:val="28"/>
          <w:szCs w:val="28"/>
        </w:rPr>
        <w:t>致：</w:t>
      </w:r>
      <w:r>
        <w:rPr>
          <w:rFonts w:ascii="宋体" w:hAnsi="宋体" w:eastAsia="宋体" w:cs="宋体"/>
          <w:sz w:val="28"/>
          <w:szCs w:val="28"/>
          <w:u w:val="single" w:color="auto"/>
        </w:rPr>
        <w:t>陕西燃气集团工程有限公司</w:t>
      </w:r>
    </w:p>
    <w:p w14:paraId="3365303B">
      <w:pPr>
        <w:pStyle w:val="6"/>
        <w:spacing w:line="245" w:lineRule="auto"/>
      </w:pPr>
    </w:p>
    <w:p w14:paraId="25BDFF4A">
      <w:pPr>
        <w:spacing w:before="91" w:line="376" w:lineRule="auto"/>
        <w:ind w:firstLine="560" w:firstLineChars="200"/>
        <w:rPr>
          <w:rFonts w:ascii="宋体" w:hAnsi="宋体" w:eastAsia="宋体" w:cs="宋体"/>
          <w:sz w:val="28"/>
          <w:szCs w:val="28"/>
        </w:rPr>
      </w:pPr>
      <w:r>
        <w:rPr>
          <w:rFonts w:ascii="宋体" w:hAnsi="宋体" w:eastAsia="宋体" w:cs="宋体"/>
          <w:color w:val="auto"/>
          <w:sz w:val="28"/>
          <w:szCs w:val="28"/>
        </w:rPr>
        <w:t>首先对贵公司各级领导邀请我公司参与</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eastAsia="zh-CN"/>
        </w:rPr>
        <w:t>陇漳岷天然气长输管道输配工程（陇漳段）项目（Ⅱ标段）</w:t>
      </w:r>
      <w:r>
        <w:rPr>
          <w:rFonts w:hint="eastAsia" w:ascii="宋体" w:hAnsi="宋体" w:eastAsia="宋体" w:cs="宋体"/>
          <w:color w:val="auto"/>
          <w:sz w:val="28"/>
          <w:szCs w:val="28"/>
          <w:u w:val="single" w:color="auto"/>
          <w:lang w:val="en-US" w:eastAsia="zh-CN"/>
        </w:rPr>
        <w:t>施工</w:t>
      </w:r>
      <w:r>
        <w:rPr>
          <w:rFonts w:hint="eastAsia" w:ascii="宋体" w:hAnsi="宋体" w:eastAsia="宋体" w:cs="宋体"/>
          <w:color w:val="auto"/>
          <w:sz w:val="28"/>
          <w:szCs w:val="28"/>
          <w:u w:val="single" w:color="auto"/>
          <w:lang w:eastAsia="zh-CN"/>
        </w:rPr>
        <w:t>劳务分包</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投</w:t>
      </w:r>
      <w:r>
        <w:rPr>
          <w:rFonts w:ascii="宋体" w:hAnsi="宋体" w:eastAsia="宋体" w:cs="宋体"/>
          <w:sz w:val="28"/>
          <w:szCs w:val="28"/>
        </w:rPr>
        <w:t>标报价</w:t>
      </w:r>
      <w:r>
        <w:rPr>
          <w:rFonts w:ascii="宋体" w:hAnsi="宋体" w:eastAsia="宋体" w:cs="宋体"/>
          <w:spacing w:val="-1"/>
          <w:sz w:val="28"/>
          <w:szCs w:val="28"/>
        </w:rPr>
        <w:t>表示感谢！根据贵方报</w:t>
      </w:r>
      <w:r>
        <w:rPr>
          <w:rFonts w:ascii="宋体" w:hAnsi="宋体" w:eastAsia="宋体" w:cs="宋体"/>
          <w:spacing w:val="-4"/>
          <w:sz w:val="28"/>
          <w:szCs w:val="28"/>
        </w:rPr>
        <w:t>价文件及有关规定的要求，经考察项目现场和研究上述报价文件、合同条款、图纸、工程建设标准及其他有关文件后，我方完全响应贵公司的报价</w:t>
      </w:r>
      <w:r>
        <w:rPr>
          <w:rFonts w:ascii="宋体" w:hAnsi="宋体" w:eastAsia="宋体" w:cs="宋体"/>
          <w:spacing w:val="-1"/>
          <w:sz w:val="28"/>
          <w:szCs w:val="28"/>
        </w:rPr>
        <w:t>文件要求，现作以下郑重承诺：</w:t>
      </w:r>
    </w:p>
    <w:p w14:paraId="0A72D008">
      <w:pPr>
        <w:spacing w:before="1" w:line="219" w:lineRule="auto"/>
        <w:ind w:left="4"/>
        <w:rPr>
          <w:rFonts w:ascii="宋体" w:hAnsi="宋体" w:eastAsia="宋体" w:cs="宋体"/>
          <w:sz w:val="28"/>
          <w:szCs w:val="28"/>
        </w:rPr>
      </w:pPr>
      <w:r>
        <w:rPr>
          <w:rFonts w:ascii="宋体" w:hAnsi="宋体" w:eastAsia="宋体" w:cs="宋体"/>
          <w:b/>
          <w:bCs/>
          <w:spacing w:val="-4"/>
          <w:sz w:val="28"/>
          <w:szCs w:val="28"/>
        </w:rPr>
        <w:t>一、施工安全保障承诺：</w:t>
      </w:r>
    </w:p>
    <w:p w14:paraId="5612AF0D">
      <w:pPr>
        <w:spacing w:before="290" w:line="220" w:lineRule="auto"/>
        <w:ind w:left="4"/>
        <w:rPr>
          <w:rFonts w:ascii="宋体" w:hAnsi="宋体" w:eastAsia="宋体" w:cs="宋体"/>
          <w:sz w:val="28"/>
          <w:szCs w:val="28"/>
        </w:rPr>
      </w:pPr>
      <w:r>
        <w:rPr>
          <w:rFonts w:ascii="宋体" w:hAnsi="宋体" w:eastAsia="宋体" w:cs="宋体"/>
          <w:b/>
          <w:bCs/>
          <w:spacing w:val="-4"/>
          <w:sz w:val="28"/>
          <w:szCs w:val="28"/>
        </w:rPr>
        <w:t>二、工程质量保证承诺：</w:t>
      </w:r>
    </w:p>
    <w:p w14:paraId="1B2D2983">
      <w:pPr>
        <w:spacing w:before="290" w:line="220" w:lineRule="auto"/>
        <w:rPr>
          <w:rFonts w:ascii="宋体" w:hAnsi="宋体" w:eastAsia="宋体" w:cs="宋体"/>
          <w:sz w:val="28"/>
          <w:szCs w:val="28"/>
        </w:rPr>
      </w:pPr>
      <w:r>
        <w:rPr>
          <w:rFonts w:ascii="宋体" w:hAnsi="宋体" w:eastAsia="宋体" w:cs="宋体"/>
          <w:b/>
          <w:bCs/>
          <w:spacing w:val="-4"/>
          <w:sz w:val="28"/>
          <w:szCs w:val="28"/>
        </w:rPr>
        <w:t>三、施工工期承诺：</w:t>
      </w:r>
    </w:p>
    <w:p w14:paraId="033835DF">
      <w:pPr>
        <w:spacing w:before="291" w:line="220" w:lineRule="auto"/>
        <w:ind w:left="26"/>
        <w:rPr>
          <w:rFonts w:ascii="宋体" w:hAnsi="宋体" w:eastAsia="宋体" w:cs="宋体"/>
          <w:sz w:val="28"/>
          <w:szCs w:val="28"/>
        </w:rPr>
      </w:pPr>
      <w:r>
        <w:rPr>
          <w:rFonts w:ascii="宋体" w:hAnsi="宋体" w:eastAsia="宋体" w:cs="宋体"/>
          <w:b/>
          <w:bCs/>
          <w:spacing w:val="-7"/>
          <w:sz w:val="28"/>
          <w:szCs w:val="28"/>
        </w:rPr>
        <w:t>四、文明施工承诺：</w:t>
      </w:r>
    </w:p>
    <w:p w14:paraId="3780F1BD">
      <w:pPr>
        <w:spacing w:before="290" w:line="220" w:lineRule="auto"/>
        <w:ind w:left="4"/>
        <w:rPr>
          <w:rFonts w:ascii="宋体" w:hAnsi="宋体" w:eastAsia="宋体" w:cs="宋体"/>
          <w:sz w:val="28"/>
          <w:szCs w:val="28"/>
        </w:rPr>
      </w:pPr>
      <w:r>
        <w:rPr>
          <w:rFonts w:ascii="宋体" w:hAnsi="宋体" w:eastAsia="宋体" w:cs="宋体"/>
          <w:b/>
          <w:bCs/>
          <w:spacing w:val="-4"/>
          <w:sz w:val="28"/>
          <w:szCs w:val="28"/>
        </w:rPr>
        <w:t>五、农民工工资发放承诺：</w:t>
      </w:r>
    </w:p>
    <w:p w14:paraId="5AD2D471">
      <w:pPr>
        <w:spacing w:before="293" w:line="402" w:lineRule="auto"/>
        <w:ind w:left="3" w:right="802" w:hanging="1"/>
        <w:jc w:val="both"/>
        <w:rPr>
          <w:rFonts w:ascii="宋体" w:hAnsi="宋体" w:eastAsia="宋体" w:cs="宋体"/>
          <w:sz w:val="28"/>
          <w:szCs w:val="28"/>
        </w:rPr>
      </w:pPr>
      <w:r>
        <w:rPr>
          <w:rFonts w:ascii="宋体" w:hAnsi="宋体" w:eastAsia="宋体" w:cs="宋体"/>
          <w:b/>
          <w:bCs/>
          <w:spacing w:val="-1"/>
          <w:sz w:val="28"/>
          <w:szCs w:val="28"/>
        </w:rPr>
        <w:t>六、人员到场承诺：</w:t>
      </w:r>
      <w:r>
        <w:rPr>
          <w:rFonts w:hint="eastAsia" w:ascii="宋体" w:hAnsi="宋体" w:eastAsia="宋体" w:cs="宋体"/>
          <w:snapToGrid/>
          <w:color w:val="000000"/>
          <w:kern w:val="2"/>
          <w:sz w:val="24"/>
          <w:szCs w:val="24"/>
          <w:lang w:eastAsia="zh-CN"/>
        </w:rPr>
        <w:t>投标时施工方案中计划用于本工程的项目经理及工程技术、质量、安全人员必须到场。如不按甲方要求到场， 甲方有权更换施工队伍。</w:t>
      </w:r>
    </w:p>
    <w:p w14:paraId="330B9521">
      <w:pPr>
        <w:pStyle w:val="6"/>
      </w:pPr>
    </w:p>
    <w:p w14:paraId="3D673A6C">
      <w:pPr>
        <w:pStyle w:val="6"/>
      </w:pPr>
    </w:p>
    <w:p w14:paraId="57C22FA1">
      <w:pPr>
        <w:pStyle w:val="6"/>
      </w:pPr>
    </w:p>
    <w:p w14:paraId="212F41CE">
      <w:pPr>
        <w:pStyle w:val="6"/>
      </w:pPr>
    </w:p>
    <w:p w14:paraId="7B3BC723">
      <w:pPr>
        <w:pStyle w:val="6"/>
      </w:pPr>
    </w:p>
    <w:p w14:paraId="66C7D0F6">
      <w:pPr>
        <w:pStyle w:val="6"/>
      </w:pPr>
    </w:p>
    <w:p w14:paraId="7DA24826">
      <w:pPr>
        <w:pStyle w:val="6"/>
        <w:spacing w:line="241" w:lineRule="auto"/>
      </w:pPr>
    </w:p>
    <w:p w14:paraId="213DDF0D">
      <w:pPr>
        <w:spacing w:before="91" w:line="346" w:lineRule="auto"/>
        <w:ind w:left="1541" w:right="2890" w:firstLine="1257"/>
        <w:rPr>
          <w:rFonts w:ascii="宋体" w:hAnsi="宋体" w:eastAsia="宋体" w:cs="宋体"/>
          <w:sz w:val="28"/>
          <w:szCs w:val="28"/>
        </w:rPr>
      </w:pPr>
      <w:r>
        <w:rPr>
          <w:rFonts w:ascii="宋体" w:hAnsi="宋体" w:eastAsia="宋体" w:cs="宋体"/>
          <w:spacing w:val="-2"/>
          <w:sz w:val="28"/>
          <w:szCs w:val="28"/>
        </w:rPr>
        <w:t>谈判响应单位（盖章</w:t>
      </w:r>
      <w:r>
        <w:rPr>
          <w:rFonts w:ascii="宋体" w:hAnsi="宋体" w:eastAsia="宋体" w:cs="宋体"/>
          <w:spacing w:val="21"/>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法定代表人或委托代理人（签字</w:t>
      </w:r>
      <w:r>
        <w:rPr>
          <w:rFonts w:ascii="宋体" w:hAnsi="宋体" w:eastAsia="宋体" w:cs="宋体"/>
          <w:spacing w:val="-32"/>
          <w:sz w:val="28"/>
          <w:szCs w:val="28"/>
        </w:rPr>
        <w:t>）：</w:t>
      </w:r>
    </w:p>
    <w:p w14:paraId="653BC7FA">
      <w:pPr>
        <w:spacing w:before="40" w:line="220" w:lineRule="auto"/>
        <w:ind w:left="6161"/>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2F2F5C9D">
      <w:pPr>
        <w:spacing w:line="220" w:lineRule="auto"/>
        <w:rPr>
          <w:rFonts w:ascii="宋体" w:hAnsi="宋体" w:eastAsia="宋体" w:cs="宋体"/>
          <w:sz w:val="28"/>
          <w:szCs w:val="28"/>
        </w:rPr>
        <w:sectPr>
          <w:footerReference r:id="rId24" w:type="default"/>
          <w:pgSz w:w="11906" w:h="16839"/>
          <w:pgMar w:top="1431" w:right="1473" w:bottom="1362" w:left="1361" w:header="0" w:footer="1200" w:gutter="0"/>
          <w:cols w:space="720" w:num="1"/>
        </w:sectPr>
      </w:pPr>
    </w:p>
    <w:p w14:paraId="14BF119A">
      <w:pPr>
        <w:spacing w:before="101" w:line="225" w:lineRule="auto"/>
        <w:ind w:left="2176"/>
        <w:rPr>
          <w:rFonts w:ascii="宋体" w:hAnsi="宋体" w:eastAsia="宋体" w:cs="宋体"/>
          <w:sz w:val="31"/>
          <w:szCs w:val="31"/>
        </w:rPr>
      </w:pPr>
      <w:r>
        <w:rPr>
          <w:rFonts w:ascii="宋体" w:hAnsi="宋体" w:eastAsia="宋体" w:cs="宋体"/>
          <w:b/>
          <w:bCs/>
          <w:spacing w:val="6"/>
          <w:sz w:val="31"/>
          <w:szCs w:val="31"/>
        </w:rPr>
        <w:t>十、陕西燃气集团工程有限公司</w:t>
      </w:r>
    </w:p>
    <w:p w14:paraId="36B0C950">
      <w:pPr>
        <w:spacing w:before="202" w:line="332" w:lineRule="auto"/>
        <w:ind w:left="2820" w:right="59" w:hanging="2816"/>
        <w:jc w:val="center"/>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陇漳岷天然气长输管道输配工程（陇漳段）项目</w:t>
      </w:r>
    </w:p>
    <w:p w14:paraId="39126EED">
      <w:pPr>
        <w:spacing w:before="202" w:line="332" w:lineRule="auto"/>
        <w:ind w:left="2820" w:right="59" w:hanging="2816"/>
        <w:jc w:val="center"/>
        <w:rPr>
          <w:rFonts w:ascii="宋体" w:hAnsi="宋体" w:eastAsia="宋体" w:cs="宋体"/>
          <w:sz w:val="31"/>
          <w:szCs w:val="31"/>
        </w:rPr>
      </w:pPr>
      <w:r>
        <w:rPr>
          <w:rFonts w:hint="eastAsia" w:ascii="宋体" w:hAnsi="宋体" w:eastAsia="宋体" w:cs="宋体"/>
          <w:b/>
          <w:bCs/>
          <w:spacing w:val="6"/>
          <w:sz w:val="31"/>
          <w:szCs w:val="31"/>
          <w:lang w:eastAsia="zh-CN"/>
        </w:rPr>
        <w:t>（Ⅱ标段）</w:t>
      </w:r>
      <w:r>
        <w:rPr>
          <w:rFonts w:hint="eastAsia" w:ascii="宋体" w:hAnsi="宋体" w:eastAsia="宋体" w:cs="宋体"/>
          <w:b/>
          <w:bCs/>
          <w:spacing w:val="6"/>
          <w:sz w:val="31"/>
          <w:szCs w:val="31"/>
          <w:lang w:val="en-US" w:eastAsia="zh-CN"/>
        </w:rPr>
        <w:t>施工</w:t>
      </w:r>
      <w:r>
        <w:rPr>
          <w:rFonts w:hint="eastAsia" w:ascii="宋体" w:hAnsi="宋体" w:eastAsia="宋体" w:cs="宋体"/>
          <w:b/>
          <w:bCs/>
          <w:spacing w:val="6"/>
          <w:sz w:val="31"/>
          <w:szCs w:val="31"/>
          <w:lang w:eastAsia="zh-CN"/>
        </w:rPr>
        <w:t>劳务分包</w:t>
      </w:r>
      <w:r>
        <w:rPr>
          <w:rFonts w:ascii="宋体" w:hAnsi="宋体" w:eastAsia="宋体" w:cs="宋体"/>
          <w:b/>
          <w:bCs/>
          <w:spacing w:val="6"/>
          <w:sz w:val="31"/>
          <w:szCs w:val="31"/>
        </w:rPr>
        <w:t>竞争性谈判回执</w:t>
      </w:r>
    </w:p>
    <w:p w14:paraId="22C67B2F">
      <w:pPr>
        <w:pStyle w:val="6"/>
        <w:spacing w:line="282" w:lineRule="auto"/>
      </w:pPr>
    </w:p>
    <w:p w14:paraId="2B38AD5B">
      <w:pPr>
        <w:pStyle w:val="6"/>
        <w:spacing w:line="282" w:lineRule="auto"/>
      </w:pPr>
    </w:p>
    <w:p w14:paraId="7F684808">
      <w:pPr>
        <w:spacing w:before="91" w:line="377" w:lineRule="auto"/>
        <w:ind w:firstLine="562"/>
        <w:jc w:val="both"/>
        <w:rPr>
          <w:rFonts w:ascii="宋体" w:hAnsi="宋体" w:eastAsia="宋体" w:cs="宋体"/>
          <w:sz w:val="28"/>
          <w:szCs w:val="28"/>
        </w:rPr>
      </w:pPr>
      <w:r>
        <w:rPr>
          <w:rFonts w:ascii="宋体" w:hAnsi="宋体" w:eastAsia="宋体" w:cs="宋体"/>
          <w:sz w:val="28"/>
          <w:szCs w:val="28"/>
        </w:rPr>
        <w:t>我公司同意并接受该项目竞争性谈判文件要求的内容，参与贵公司:</w:t>
      </w:r>
      <w:r>
        <w:rPr>
          <w:rFonts w:ascii="宋体" w:hAnsi="宋体" w:eastAsia="宋体" w:cs="宋体"/>
          <w:spacing w:val="9"/>
          <w:sz w:val="28"/>
          <w:szCs w:val="28"/>
        </w:rPr>
        <w:t xml:space="preserve"> </w:t>
      </w:r>
      <w:r>
        <w:rPr>
          <w:rFonts w:hint="eastAsia" w:ascii="宋体" w:hAnsi="宋体" w:eastAsia="宋体" w:cs="宋体"/>
          <w:sz w:val="28"/>
          <w:szCs w:val="28"/>
          <w:u w:val="single" w:color="auto"/>
          <w:lang w:eastAsia="zh-CN"/>
        </w:rPr>
        <w:t>陇漳岷天然气长输管道输配工程（陇漳段）项目（Ⅱ标段）</w:t>
      </w:r>
      <w:r>
        <w:rPr>
          <w:rFonts w:hint="eastAsia" w:ascii="宋体" w:hAnsi="宋体" w:eastAsia="宋体" w:cs="宋体"/>
          <w:sz w:val="28"/>
          <w:szCs w:val="28"/>
          <w:u w:val="single" w:color="auto"/>
          <w:lang w:val="en-US" w:eastAsia="zh-CN"/>
        </w:rPr>
        <w:t>施工</w:t>
      </w:r>
      <w:r>
        <w:rPr>
          <w:rFonts w:hint="eastAsia" w:ascii="宋体" w:hAnsi="宋体" w:eastAsia="宋体" w:cs="宋体"/>
          <w:sz w:val="28"/>
          <w:szCs w:val="28"/>
          <w:u w:val="single" w:color="auto"/>
          <w:lang w:eastAsia="zh-CN"/>
        </w:rPr>
        <w:t>劳务分包</w:t>
      </w:r>
      <w:r>
        <w:rPr>
          <w:rFonts w:ascii="宋体" w:hAnsi="宋体" w:eastAsia="宋体" w:cs="宋体"/>
          <w:spacing w:val="-4"/>
          <w:sz w:val="28"/>
          <w:szCs w:val="28"/>
        </w:rPr>
        <w:t>的报价。我公司将安排</w:t>
      </w:r>
      <w:r>
        <w:rPr>
          <w:rFonts w:ascii="宋体" w:hAnsi="宋体" w:eastAsia="宋体" w:cs="宋体"/>
          <w:spacing w:val="-4"/>
          <w:sz w:val="28"/>
          <w:szCs w:val="28"/>
          <w:u w:val="single" w:color="auto"/>
        </w:rPr>
        <w:t xml:space="preserve">         （</w:t>
      </w:r>
      <w:r>
        <w:rPr>
          <w:rFonts w:ascii="宋体" w:hAnsi="宋体" w:eastAsia="宋体" w:cs="宋体"/>
          <w:spacing w:val="-67"/>
          <w:sz w:val="28"/>
          <w:szCs w:val="28"/>
          <w:u w:val="single" w:color="auto"/>
        </w:rPr>
        <w:t xml:space="preserve"> </w:t>
      </w:r>
      <w:r>
        <w:rPr>
          <w:rFonts w:ascii="宋体" w:hAnsi="宋体" w:eastAsia="宋体" w:cs="宋体"/>
          <w:spacing w:val="-4"/>
          <w:sz w:val="28"/>
          <w:szCs w:val="28"/>
        </w:rPr>
        <w:t>先生/女士）作为本次报价的联系人，</w:t>
      </w:r>
      <w:r>
        <w:rPr>
          <w:rFonts w:ascii="宋体" w:hAnsi="宋体" w:eastAsia="宋体" w:cs="宋体"/>
          <w:spacing w:val="-1"/>
          <w:sz w:val="28"/>
          <w:szCs w:val="28"/>
        </w:rPr>
        <w:t>联系电话为</w:t>
      </w:r>
      <w:r>
        <w:rPr>
          <w:rFonts w:ascii="宋体" w:hAnsi="宋体" w:eastAsia="宋体" w:cs="宋体"/>
          <w:spacing w:val="-1"/>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1"/>
          <w:sz w:val="28"/>
          <w:szCs w:val="28"/>
        </w:rPr>
        <w:t>。我们将按贵公司要求提交相应文件，对于报价期间的部分往来文件我们接受以电邮/传真方式进行传递。</w:t>
      </w:r>
    </w:p>
    <w:p w14:paraId="3B7BB0A3">
      <w:pPr>
        <w:pStyle w:val="6"/>
        <w:spacing w:line="241" w:lineRule="auto"/>
      </w:pPr>
    </w:p>
    <w:p w14:paraId="27C707E5">
      <w:pPr>
        <w:pStyle w:val="6"/>
        <w:spacing w:line="241" w:lineRule="auto"/>
      </w:pPr>
    </w:p>
    <w:p w14:paraId="2283E538">
      <w:pPr>
        <w:pStyle w:val="6"/>
        <w:spacing w:line="241" w:lineRule="auto"/>
      </w:pPr>
    </w:p>
    <w:p w14:paraId="4F3C7C7C">
      <w:pPr>
        <w:pStyle w:val="6"/>
        <w:spacing w:line="241" w:lineRule="auto"/>
      </w:pPr>
    </w:p>
    <w:p w14:paraId="02A5BFEF">
      <w:pPr>
        <w:pStyle w:val="6"/>
        <w:spacing w:line="241" w:lineRule="auto"/>
      </w:pPr>
    </w:p>
    <w:p w14:paraId="6E9C8A1C">
      <w:pPr>
        <w:pStyle w:val="6"/>
        <w:spacing w:line="241" w:lineRule="auto"/>
      </w:pPr>
    </w:p>
    <w:p w14:paraId="14CFB6B5">
      <w:pPr>
        <w:pStyle w:val="6"/>
        <w:spacing w:line="241" w:lineRule="auto"/>
      </w:pPr>
    </w:p>
    <w:p w14:paraId="7F92CE7D">
      <w:pPr>
        <w:pStyle w:val="6"/>
        <w:spacing w:line="241" w:lineRule="auto"/>
      </w:pPr>
    </w:p>
    <w:p w14:paraId="22997BE7">
      <w:pPr>
        <w:pStyle w:val="6"/>
        <w:spacing w:line="241" w:lineRule="auto"/>
      </w:pPr>
    </w:p>
    <w:p w14:paraId="2EA2B3A5">
      <w:pPr>
        <w:pStyle w:val="6"/>
        <w:spacing w:line="241" w:lineRule="auto"/>
      </w:pPr>
    </w:p>
    <w:p w14:paraId="2C519926">
      <w:pPr>
        <w:pStyle w:val="6"/>
        <w:spacing w:line="242" w:lineRule="auto"/>
      </w:pPr>
    </w:p>
    <w:p w14:paraId="7B705914">
      <w:pPr>
        <w:spacing w:before="91" w:line="219" w:lineRule="auto"/>
        <w:ind w:left="2798"/>
        <w:rPr>
          <w:rFonts w:ascii="宋体" w:hAnsi="宋体" w:eastAsia="宋体" w:cs="宋体"/>
          <w:sz w:val="28"/>
          <w:szCs w:val="28"/>
        </w:rPr>
      </w:pPr>
      <w:r>
        <w:rPr>
          <w:rFonts w:ascii="宋体" w:hAnsi="宋体" w:eastAsia="宋体" w:cs="宋体"/>
          <w:spacing w:val="-2"/>
          <w:sz w:val="28"/>
          <w:szCs w:val="28"/>
        </w:rPr>
        <w:t>谈判响应单位（盖章</w:t>
      </w:r>
      <w:r>
        <w:rPr>
          <w:rFonts w:ascii="宋体" w:hAnsi="宋体" w:eastAsia="宋体" w:cs="宋体"/>
          <w:spacing w:val="3"/>
          <w:sz w:val="28"/>
          <w:szCs w:val="28"/>
        </w:rPr>
        <w:t>）：</w:t>
      </w:r>
    </w:p>
    <w:p w14:paraId="710099BB">
      <w:pPr>
        <w:pStyle w:val="6"/>
        <w:spacing w:line="299" w:lineRule="auto"/>
      </w:pPr>
    </w:p>
    <w:p w14:paraId="35EA9EF6">
      <w:pPr>
        <w:spacing w:before="91" w:line="220" w:lineRule="auto"/>
        <w:ind w:left="588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sectPr>
      <w:footerReference r:id="rId25" w:type="default"/>
      <w:pgSz w:w="11906" w:h="16839"/>
      <w:pgMar w:top="1431" w:right="1420" w:bottom="1360" w:left="1598"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780F">
    <w:pPr>
      <w:spacing w:line="176" w:lineRule="auto"/>
      <w:ind w:left="42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B9CE">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3EC6">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2FE8">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7E43">
    <w:pPr>
      <w:spacing w:line="176" w:lineRule="auto"/>
      <w:ind w:left="47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3B2C">
    <w:pPr>
      <w:spacing w:line="176" w:lineRule="auto"/>
      <w:ind w:left="47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BD31">
    <w:pPr>
      <w:spacing w:line="176" w:lineRule="auto"/>
      <w:ind w:left="41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5C34">
    <w:pPr>
      <w:spacing w:line="176" w:lineRule="auto"/>
      <w:ind w:left="43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5D8C">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3E94">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38CC">
    <w:pPr>
      <w:spacing w:line="173" w:lineRule="auto"/>
      <w:ind w:left="41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6A2F">
    <w:pPr>
      <w:spacing w:line="173" w:lineRule="auto"/>
      <w:ind w:left="43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3B97">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23B3">
    <w:pPr>
      <w:spacing w:line="173"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59B6">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EFF3">
    <w:pPr>
      <w:spacing w:line="176" w:lineRule="auto"/>
      <w:ind w:left="40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B5E9">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08B5">
    <w:pPr>
      <w:spacing w:line="176"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9F52">
    <w:pPr>
      <w:spacing w:line="176" w:lineRule="auto"/>
      <w:ind w:left="46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2F73">
    <w:pPr>
      <w:spacing w:line="176" w:lineRule="auto"/>
      <w:ind w:left="47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6D21">
    <w:pPr>
      <w:spacing w:line="176" w:lineRule="auto"/>
      <w:ind w:left="43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U4ZDNjNjJiYTBmNDU1MGYxZWE3YzY0YTkwMzRhMTkifQ=="/>
  </w:docVars>
  <w:rsids>
    <w:rsidRoot w:val="00000000"/>
    <w:rsid w:val="02B60B3C"/>
    <w:rsid w:val="02B97226"/>
    <w:rsid w:val="03787B4E"/>
    <w:rsid w:val="03EE3540"/>
    <w:rsid w:val="047D6F6E"/>
    <w:rsid w:val="06FA2BAB"/>
    <w:rsid w:val="070B69EA"/>
    <w:rsid w:val="085033AB"/>
    <w:rsid w:val="085B5981"/>
    <w:rsid w:val="13211249"/>
    <w:rsid w:val="16785CCE"/>
    <w:rsid w:val="19C04D84"/>
    <w:rsid w:val="1A202A01"/>
    <w:rsid w:val="1AFE1AD8"/>
    <w:rsid w:val="1BC4466E"/>
    <w:rsid w:val="1E4F0035"/>
    <w:rsid w:val="22D779B9"/>
    <w:rsid w:val="25E70EC2"/>
    <w:rsid w:val="29963821"/>
    <w:rsid w:val="2A7F609F"/>
    <w:rsid w:val="2D00641C"/>
    <w:rsid w:val="3119195D"/>
    <w:rsid w:val="33C9251E"/>
    <w:rsid w:val="34751496"/>
    <w:rsid w:val="3C511CCA"/>
    <w:rsid w:val="40BA61E2"/>
    <w:rsid w:val="45F64123"/>
    <w:rsid w:val="48FA7F31"/>
    <w:rsid w:val="4969769B"/>
    <w:rsid w:val="4ADC77D8"/>
    <w:rsid w:val="4B8D020F"/>
    <w:rsid w:val="4C0479AD"/>
    <w:rsid w:val="4C42278E"/>
    <w:rsid w:val="4F9B431C"/>
    <w:rsid w:val="52BF2B67"/>
    <w:rsid w:val="590D02D1"/>
    <w:rsid w:val="61343897"/>
    <w:rsid w:val="625E50EB"/>
    <w:rsid w:val="66151AC6"/>
    <w:rsid w:val="67EC7249"/>
    <w:rsid w:val="68AB1A6A"/>
    <w:rsid w:val="712E6F03"/>
    <w:rsid w:val="72892B04"/>
    <w:rsid w:val="73EB6632"/>
    <w:rsid w:val="76B732F4"/>
    <w:rsid w:val="77C20E07"/>
    <w:rsid w:val="77F401C2"/>
    <w:rsid w:val="78C72CEA"/>
    <w:rsid w:val="7B5E3D29"/>
    <w:rsid w:val="7C7F3063"/>
    <w:rsid w:val="7EDA3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next w:val="5"/>
    <w:qFormat/>
    <w:uiPriority w:val="0"/>
    <w:pPr>
      <w:widowControl w:val="0"/>
      <w:overflowPunct/>
      <w:autoSpaceDE/>
      <w:autoSpaceDN/>
      <w:adjustRightInd/>
      <w:ind w:firstLine="420"/>
      <w:jc w:val="both"/>
      <w:textAlignment w:val="auto"/>
    </w:pPr>
    <w:rPr>
      <w:rFonts w:ascii="Times New Roman" w:hAnsi="Times New Roman" w:eastAsia="仿宋_GB2312" w:cs="Times New Roman"/>
      <w:kern w:val="2"/>
      <w:sz w:val="24"/>
      <w:lang w:val="en-US" w:eastAsia="zh-CN" w:bidi="ar-SA"/>
    </w:rPr>
  </w:style>
  <w:style w:type="paragraph" w:styleId="5">
    <w:name w:val="Plain Text"/>
    <w:next w:val="1"/>
    <w:qFormat/>
    <w:uiPriority w:val="0"/>
    <w:pPr>
      <w:widowControl w:val="0"/>
      <w:overflowPunct/>
      <w:autoSpaceDE/>
      <w:autoSpaceDN/>
      <w:adjustRightInd/>
      <w:snapToGrid w:val="0"/>
      <w:jc w:val="both"/>
      <w:textAlignment w:val="auto"/>
    </w:pPr>
    <w:rPr>
      <w:rFonts w:ascii="宋体" w:hAnsi="Courier New" w:eastAsia="宋体" w:cs="宋体"/>
      <w:kern w:val="13"/>
      <w:sz w:val="21"/>
      <w:szCs w:val="21"/>
      <w:lang w:val="en-US" w:eastAsia="zh-CN" w:bidi="ar-SA"/>
    </w:rPr>
  </w:style>
  <w:style w:type="paragraph" w:styleId="6">
    <w:name w:val="Body Text"/>
    <w:basedOn w:val="1"/>
    <w:semiHidden/>
    <w:qFormat/>
    <w:uiPriority w:val="0"/>
    <w:rPr>
      <w:rFonts w:ascii="Arial" w:hAnsi="Arial" w:eastAsia="Arial" w:cs="Arial"/>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Pages>
  <Words>29428</Words>
  <Characters>31534</Characters>
  <TotalTime>14</TotalTime>
  <ScaleCrop>false</ScaleCrop>
  <LinksUpToDate>false</LinksUpToDate>
  <CharactersWithSpaces>33728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2024-07-18T17:28:00Z</dcterms:created>
  <dc:creator>Lenovo</dc:creator>
  <cp:lastModifiedBy>(☆_☆)</cp:lastModifiedBy>
  <dcterms:modified xsi:type="dcterms:W3CDTF">2024-10-17T08:37:36Z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2024-08-30T16:16:47Z</vt:filetime>
  </property>
  <property fmtid="{D5CDD505-2E9C-101B-9397-08002B2CF9AE}" pid="4" name="KSOProductBuildVer">
    <vt:lpwstr>2052-12.1.0.18608</vt:lpwstr>
  </property>
  <property fmtid="{D5CDD505-2E9C-101B-9397-08002B2CF9AE}" pid="5" name="ICV">
    <vt:lpwstr>A3B82067711E44F4A764E0BEE100E374_13</vt:lpwstr>
  </property>
</Properties>
</file>