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9205D">
      <w:pPr>
        <w:spacing w:line="240" w:lineRule="auto"/>
        <w:jc w:val="center"/>
        <w:rPr>
          <w:rFonts w:hint="eastAsia" w:ascii="宋体" w:hAnsi="宋体" w:eastAsia="宋体" w:cs="宋体"/>
          <w:b/>
          <w:bCs/>
          <w:sz w:val="52"/>
          <w:szCs w:val="52"/>
          <w:highlight w:val="none"/>
          <w:lang w:eastAsia="zh-CN"/>
        </w:rPr>
      </w:pPr>
      <w:bookmarkStart w:id="0" w:name="bookmark5"/>
      <w:r>
        <w:rPr>
          <w:rFonts w:hint="eastAsia" w:ascii="宋体" w:hAnsi="宋体" w:eastAsia="宋体" w:cs="宋体"/>
          <w:b/>
          <w:bCs/>
          <w:sz w:val="52"/>
          <w:szCs w:val="52"/>
          <w:highlight w:val="none"/>
          <w:lang w:eastAsia="zh-CN"/>
        </w:rPr>
        <w:t>陕西燃气集团工程有限公司</w:t>
      </w:r>
    </w:p>
    <w:p w14:paraId="2169B0E5">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val="en-US" w:eastAsia="zh-CN"/>
        </w:rPr>
        <w:t>西安国际港务区能源站工程锅炉房扩建项目建筑及室外工程建设工程电气材料采购</w:t>
      </w:r>
    </w:p>
    <w:p w14:paraId="0276A074">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075DDF78">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06A15877">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14:paraId="19B1E02A">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79DB2962">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62C370DD">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54B289D4">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11279737">
      <w:pPr>
        <w:pStyle w:val="10"/>
        <w:rPr>
          <w:rFonts w:hint="eastAsia" w:ascii="方正小标宋简体" w:hAnsi="方正小标宋简体" w:eastAsia="方正小标宋简体" w:cs="方正小标宋简体"/>
          <w:sz w:val="36"/>
          <w:szCs w:val="36"/>
          <w:highlight w:val="none"/>
          <w:lang w:eastAsia="zh-CN"/>
        </w:rPr>
      </w:pPr>
    </w:p>
    <w:p w14:paraId="34A46C94">
      <w:pPr>
        <w:rPr>
          <w:rFonts w:hint="eastAsia" w:ascii="方正小标宋简体" w:hAnsi="方正小标宋简体" w:eastAsia="方正小标宋简体" w:cs="方正小标宋简体"/>
          <w:sz w:val="36"/>
          <w:szCs w:val="36"/>
          <w:highlight w:val="none"/>
          <w:lang w:eastAsia="zh-CN"/>
        </w:rPr>
      </w:pPr>
    </w:p>
    <w:p w14:paraId="4D4DEB2E">
      <w:pPr>
        <w:pStyle w:val="10"/>
        <w:rPr>
          <w:rFonts w:hint="eastAsia"/>
          <w:lang w:eastAsia="zh-CN"/>
        </w:rPr>
      </w:pPr>
    </w:p>
    <w:p w14:paraId="141224DF">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14:paraId="70CF43EB">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14:paraId="178213A9">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cs="宋体"/>
          <w:b/>
          <w:bCs/>
          <w:sz w:val="44"/>
          <w:szCs w:val="44"/>
          <w:highlight w:val="none"/>
          <w:lang w:val="en-US" w:eastAsia="zh-CN"/>
        </w:rPr>
        <w:t>四</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七</w:t>
      </w:r>
      <w:r>
        <w:rPr>
          <w:rFonts w:hint="eastAsia" w:ascii="宋体" w:hAnsi="宋体" w:eastAsia="宋体" w:cs="宋体"/>
          <w:b/>
          <w:bCs/>
          <w:sz w:val="44"/>
          <w:szCs w:val="44"/>
          <w:highlight w:val="none"/>
          <w:lang w:eastAsia="zh-CN"/>
        </w:rPr>
        <w:t>月</w:t>
      </w:r>
    </w:p>
    <w:p w14:paraId="15362ABD">
      <w:pPr>
        <w:spacing w:line="5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陕西燃气集团工程有限公司</w:t>
      </w:r>
    </w:p>
    <w:p w14:paraId="0FFE7D28">
      <w:pPr>
        <w:spacing w:line="580" w:lineRule="exact"/>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西安国际港务区能源站工程锅炉房扩建项目建筑及室外工程建设工程电气材料采购报价要求</w:t>
      </w:r>
    </w:p>
    <w:p w14:paraId="246A0CD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我公司拟对西安国际港务区能源站工程锅炉房扩建项目建筑及室外工程建设工程电气材料采购进行比价洽谈，特邀请贵公司参与洽谈。该项目具体情况如下：</w:t>
      </w:r>
    </w:p>
    <w:p w14:paraId="09D18892">
      <w:pPr>
        <w:spacing w:line="48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val="en-US" w:eastAsia="zh-CN"/>
        </w:rPr>
        <w:t>西安国际港务区能源站工程锅炉房扩建项目建筑及室外工程</w:t>
      </w:r>
    </w:p>
    <w:p w14:paraId="17E6AAC7">
      <w:pPr>
        <w:numPr>
          <w:ilvl w:val="0"/>
          <w:numId w:val="1"/>
        </w:numPr>
        <w:spacing w:after="0" w:line="24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报价清单及要求：</w:t>
      </w:r>
    </w:p>
    <w:tbl>
      <w:tblPr>
        <w:tblStyle w:val="19"/>
        <w:tblW w:w="10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068"/>
        <w:gridCol w:w="5379"/>
        <w:gridCol w:w="1148"/>
        <w:gridCol w:w="1214"/>
        <w:gridCol w:w="1227"/>
      </w:tblGrid>
      <w:tr w14:paraId="27B9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D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A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6C3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55D7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9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2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钢制梯式桥架 200*100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7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B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FF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1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9CB0">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桥架CT-800*200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8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2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5A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1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4568">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8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桥架CT-100*100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4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D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F6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A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B751">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9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桥架CT-600*200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7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6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1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08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BA7">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F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桥架CT-400*200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4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B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2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2C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4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91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F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KVV-4X1.5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E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BC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56BB">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BV-2.5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4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3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2C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6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DF5F">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8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3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0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7E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5A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5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ED47">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F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YJV-4X4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B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B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F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9D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8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9887">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YFD-RTXMY-3(1x4)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2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D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12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B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A98BC">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NH-RVVP-2*1.5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B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FD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E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B2D9">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WDZN-RYSP-2*1.5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0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D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8F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F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5032">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8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WDZN-RYSP-2*2.5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0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8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17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3F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7222">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9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KVV-6X1.5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3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3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7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5A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6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C9073">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ZR-KVV-4x1.5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9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7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2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D9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6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16413">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1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KVV-8X1.5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0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8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F6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9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D189">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YHS-4x2.5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2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CC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3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E04D">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7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YJV-5X6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6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D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10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4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8F9E">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C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YJV-5X10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2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0A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D147">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C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NH-YJV-4X35+1X16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0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E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CC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7A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A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1821D">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B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NH-RVS-2x1.5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D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D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39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22D5">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B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NH-RVVP-2X1.5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8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28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E8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B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ACE35">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E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NH-BV-2X1.5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A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2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BC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061F0">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5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NH-BV-2X2.5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A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E2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B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E357">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9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NH-BV-2X4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4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79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64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D9E5">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C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CD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25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1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4489">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9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C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C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A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FB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D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6F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动力柜</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1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动力配电箱（AP-Z)</w:t>
            </w:r>
          </w:p>
          <w:p w14:paraId="0D089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规格:500*700*140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B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B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95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D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65D1">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3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动力配电箱(AC)</w:t>
            </w:r>
          </w:p>
          <w:p w14:paraId="6BF79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规格:800*900*250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D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8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59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4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D7E6">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D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动力配电箱（AL-Z)</w:t>
            </w:r>
          </w:p>
          <w:p w14:paraId="2BE2A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5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59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C9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0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643F">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6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动力配电箱（AB-Z）</w:t>
            </w:r>
          </w:p>
          <w:p w14:paraId="4AE55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E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4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B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43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2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1EAE">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2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动力配电箱（AP-Z）</w:t>
            </w:r>
          </w:p>
          <w:p w14:paraId="3BC4C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4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7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69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3C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照明柜</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E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照明配电箱（AL-JX）</w:t>
            </w:r>
          </w:p>
          <w:p w14:paraId="4571B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400*500*140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A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检修</w:t>
            </w:r>
          </w:p>
        </w:tc>
      </w:tr>
      <w:tr w14:paraId="3061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4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4114">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8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照明配电箱（AL） </w:t>
            </w:r>
          </w:p>
          <w:p w14:paraId="34469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400*500*140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E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水泵房</w:t>
            </w:r>
          </w:p>
        </w:tc>
      </w:tr>
      <w:tr w14:paraId="4467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B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F6E00">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2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照明配电箱（AL-FJJ）</w:t>
            </w:r>
          </w:p>
          <w:p w14:paraId="4D1E7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C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5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生产</w:t>
            </w:r>
          </w:p>
        </w:tc>
      </w:tr>
      <w:tr w14:paraId="2B8F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3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90EE0">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9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照明配电箱（AL-SCL）</w:t>
            </w:r>
          </w:p>
          <w:p w14:paraId="4A10D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C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2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3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生产（暗装）</w:t>
            </w:r>
          </w:p>
        </w:tc>
      </w:tr>
      <w:tr w14:paraId="0B40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1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90AC">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照明配电箱（AL-CEMS）</w:t>
            </w:r>
          </w:p>
          <w:p w14:paraId="68111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C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E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4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生产（暗装）</w:t>
            </w:r>
          </w:p>
        </w:tc>
      </w:tr>
      <w:tr w14:paraId="3B69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F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8D6D">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照明配电箱（AL-GLJ）</w:t>
            </w:r>
          </w:p>
          <w:p w14:paraId="12E6A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3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8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5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检修（暗装）</w:t>
            </w:r>
          </w:p>
        </w:tc>
      </w:tr>
      <w:tr w14:paraId="388F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7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0014">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3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照明配电箱（AL-BG）</w:t>
            </w:r>
          </w:p>
          <w:p w14:paraId="2D75C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5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C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A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水泵（暗装）</w:t>
            </w:r>
          </w:p>
        </w:tc>
      </w:tr>
      <w:tr w14:paraId="6780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57466">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D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照明配电箱（AL-KZS）</w:t>
            </w:r>
          </w:p>
          <w:p w14:paraId="185EE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A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8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生产（暗装）</w:t>
            </w:r>
          </w:p>
        </w:tc>
      </w:tr>
      <w:tr w14:paraId="23C1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9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9DE2">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3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照明配电箱（AL-PDS）</w:t>
            </w:r>
          </w:p>
          <w:p w14:paraId="5B8FB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F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A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生产（暗装）</w:t>
            </w:r>
          </w:p>
        </w:tc>
      </w:tr>
      <w:tr w14:paraId="143E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C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水泵控制柜</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C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潜污泵控制箱</w:t>
            </w:r>
          </w:p>
          <w:p w14:paraId="56A01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规格:500*600*200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9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74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1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85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风机柜</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1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风机配电箱（AC-FJJ)</w:t>
            </w:r>
          </w:p>
          <w:p w14:paraId="472A7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规格:500X600X200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2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0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9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F4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F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787B">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E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风机配电箱（AC-SCL)</w:t>
            </w:r>
          </w:p>
          <w:p w14:paraId="16A4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规格:500X600X200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7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E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5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B8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C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FB64">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A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风机配电柜AC-GLJ </w:t>
            </w:r>
          </w:p>
          <w:p w14:paraId="7C4D3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防爆600*600*600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9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D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90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FF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9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F1F9">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8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风机配电箱(AP-FJ)</w:t>
            </w:r>
          </w:p>
          <w:p w14:paraId="22C35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规格:800*900*250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A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3B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EF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8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4210">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F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凤机配电箱（AC-PDS）</w:t>
            </w:r>
          </w:p>
          <w:p w14:paraId="4650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0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F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6E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9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2810">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8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风机配电箱(AC)</w:t>
            </w:r>
          </w:p>
          <w:p w14:paraId="3FF97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规格:800*900*250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1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DC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6E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F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9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基业箱</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JX1变配电室检修箱  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0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C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F7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E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262C">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C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JX2水处理间检修箱  470X250X140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0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4B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C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D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应急照明柜</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2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应急照明配电箱（ALE）</w:t>
            </w:r>
          </w:p>
          <w:p w14:paraId="55271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规格:400*500*140，一体式 DC24V输出回路控制、通讯功能、为灯具供电AC220V输入DC24V安全电压输出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5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1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B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AA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1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8364">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0C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应急照明配电箱（BR-D）</w:t>
            </w:r>
          </w:p>
          <w:p w14:paraId="24A28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规格:400*500*140，一体式 DC24V输出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F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B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10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0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9F57">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应急照明配电箱（ALE）</w:t>
            </w:r>
          </w:p>
          <w:p w14:paraId="5B8EC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规格:500x600x200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0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3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04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61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2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F2F6">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控制器操作箱</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8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F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48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E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E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应急照明灯</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4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集中电源集中控制型消防应急标志灯具单面左向（右向）</w:t>
            </w:r>
          </w:p>
          <w:p w14:paraId="2CD48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型号:1.灯内不带电池组2.每个设备具有唯一地址码3.可编程序控制4.故障报警5.无极性两总线</w:t>
            </w:r>
          </w:p>
          <w:p w14:paraId="0BD20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E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B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B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1E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E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EA19">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B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集中电源集中控制型消防应急照明灯具壁挂</w:t>
            </w:r>
          </w:p>
          <w:p w14:paraId="17CF9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型号:1.灯内不带电池组2.每个设备具有唯一地址码3.可编程序控制4.故障报警5.无极性两总线</w:t>
            </w:r>
          </w:p>
          <w:p w14:paraId="3FC6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5W</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6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2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1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BF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38FB">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1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集中电源集中控制型消防应急照明灯具安全出口</w:t>
            </w:r>
          </w:p>
          <w:p w14:paraId="57249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型号:1.灯内不带电池组2.每个设备具有唯一地址码3.可编程序控制4.故障报警5.无极性两总线</w:t>
            </w:r>
          </w:p>
          <w:p w14:paraId="0CE63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5B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8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D6C6">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3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集中电源集中控制型消防应急照明灯具壁挂防爆</w:t>
            </w:r>
          </w:p>
          <w:p w14:paraId="71D994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型号:灯内不带电池组，每个设备具有唯一地址码，可编程序控制，故障报警，无极性两总线</w:t>
            </w:r>
          </w:p>
          <w:p w14:paraId="228C6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A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0B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F2C4">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D9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集中电源集中控制型消防应急照明灯具楼层指示灯</w:t>
            </w:r>
          </w:p>
          <w:p w14:paraId="42412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型号:灯内不带电池组，每个设备具有唯一地址码，可编程序控制，故障报警，无极性两总线</w:t>
            </w:r>
          </w:p>
          <w:p w14:paraId="389A2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1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C3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5A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D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3E66">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5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防爆安全出口型号:1.灯内不带电池组2.每个设备具有唯一地址码3.可编程序控制4.故障报警5.无极性两总线</w:t>
            </w:r>
          </w:p>
          <w:p w14:paraId="080AF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B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88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4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5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04D0">
            <w:pPr>
              <w:jc w:val="center"/>
              <w:rPr>
                <w:rFonts w:hint="eastAsia" w:ascii="宋体" w:hAnsi="宋体" w:eastAsia="宋体" w:cs="宋体"/>
                <w:i w:val="0"/>
                <w:iCs w:val="0"/>
                <w:color w:val="000000"/>
                <w:sz w:val="20"/>
                <w:szCs w:val="20"/>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9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防爆单面左右向型号:1.灯内不带电池组2.每个设备具有唯一地址码3.可编程序控制4.故障报警5.无极性两总线</w:t>
            </w:r>
          </w:p>
          <w:p w14:paraId="1EDAF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B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E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C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E1F3278">
      <w:pPr>
        <w:spacing w:line="480" w:lineRule="auto"/>
        <w:ind w:firstLine="480" w:firstLineChars="20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lang w:eastAsia="zh-CN"/>
        </w:rPr>
        <w:t>注：1.</w:t>
      </w:r>
      <w:r>
        <w:rPr>
          <w:rFonts w:hint="eastAsia" w:ascii="宋体" w:hAnsi="宋体" w:eastAsia="宋体" w:cs="宋体"/>
          <w:sz w:val="24"/>
          <w:szCs w:val="24"/>
          <w:lang w:val="en-US" w:eastAsia="zh-CN"/>
        </w:rPr>
        <w:t>设备运输</w:t>
      </w: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西安国际港务区能源站工程锅炉房扩建项目建筑及室外工程甲方指定</w:t>
      </w:r>
      <w:r>
        <w:rPr>
          <w:rFonts w:hint="eastAsia" w:cs="宋体"/>
          <w:sz w:val="24"/>
          <w:szCs w:val="24"/>
          <w:lang w:val="en-US" w:eastAsia="zh-CN"/>
        </w:rPr>
        <w:t>现场</w:t>
      </w:r>
      <w:r>
        <w:rPr>
          <w:rFonts w:hint="eastAsia" w:ascii="宋体" w:hAnsi="宋体" w:eastAsia="宋体" w:cs="宋体"/>
          <w:sz w:val="24"/>
          <w:szCs w:val="24"/>
          <w:lang w:val="en-US" w:eastAsia="zh-CN"/>
        </w:rPr>
        <w:t>地点</w:t>
      </w:r>
      <w:r>
        <w:rPr>
          <w:rFonts w:hint="eastAsia" w:ascii="宋体" w:hAnsi="宋体" w:eastAsia="宋体" w:cs="宋体"/>
          <w:sz w:val="24"/>
          <w:szCs w:val="24"/>
          <w:u w:val="none"/>
          <w:lang w:val="en-US" w:eastAsia="zh-CN"/>
        </w:rPr>
        <w:t>。</w:t>
      </w:r>
    </w:p>
    <w:p w14:paraId="031051A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2.供货周期：接买方订单计划后</w:t>
      </w:r>
      <w:r>
        <w:rPr>
          <w:rFonts w:hint="eastAsia" w:cs="宋体"/>
          <w:sz w:val="24"/>
          <w:szCs w:val="24"/>
          <w:highlight w:val="none"/>
          <w:lang w:val="en-US" w:eastAsia="zh-CN"/>
        </w:rPr>
        <w:t>20</w:t>
      </w:r>
      <w:r>
        <w:rPr>
          <w:rFonts w:hint="eastAsia" w:ascii="宋体" w:hAnsi="宋体" w:eastAsia="宋体" w:cs="宋体"/>
          <w:sz w:val="24"/>
          <w:szCs w:val="24"/>
          <w:highlight w:val="none"/>
          <w:lang w:eastAsia="zh-CN"/>
        </w:rPr>
        <w:t>日内送达。</w:t>
      </w:r>
    </w:p>
    <w:p w14:paraId="51A71B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3.随车提供合格证、检验报告、厂家资料。</w:t>
      </w:r>
    </w:p>
    <w:p w14:paraId="61326B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14:paraId="1F517BC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配电柜设备采购、运输、装卸，满足图纸要求。</w:t>
      </w:r>
      <w:r>
        <w:rPr>
          <w:rFonts w:hint="eastAsia" w:ascii="宋体" w:hAnsi="宋体" w:cs="宋体"/>
          <w:sz w:val="24"/>
          <w:szCs w:val="24"/>
          <w:lang w:val="en-US" w:eastAsia="zh-CN"/>
        </w:rPr>
        <w:t>（图纸后附）</w:t>
      </w:r>
    </w:p>
    <w:p w14:paraId="1CCA31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配电柜需成套供货运输至项目部，配电柜内部电气元件安装、布线均需满足国家相关规范、标准要求。</w:t>
      </w:r>
    </w:p>
    <w:p w14:paraId="1564B6F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配电柜铭牌处需标明对应的项目名称、生产日期、生产厂家等，所有电器元件均需附带合格证，并粘贴装订成册。配电柜需附带系统图。</w:t>
      </w:r>
    </w:p>
    <w:p w14:paraId="2FAD000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配电柜需预留可靠地接地点、柜门与柜体均需按照规范接地。</w:t>
      </w:r>
      <w:r>
        <w:rPr>
          <w:rFonts w:hint="eastAsia" w:ascii="宋体" w:hAnsi="宋体" w:cs="宋体"/>
          <w:sz w:val="24"/>
          <w:szCs w:val="24"/>
          <w:lang w:val="en-US" w:eastAsia="zh-CN"/>
        </w:rPr>
        <w:t xml:space="preserve"> </w:t>
      </w:r>
    </w:p>
    <w:p w14:paraId="1486A8B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配电箱的生产必须符合设计及施工规范要求，按照国家标准GB7251执行。</w:t>
      </w:r>
    </w:p>
    <w:p w14:paraId="0F5505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其他元件、附件及材料必须选用符合国家或行业标准的材料。</w:t>
      </w:r>
    </w:p>
    <w:p w14:paraId="2C1FEF1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配电箱内的空开、指示灯、按钮、旋转开头等操作及控制和指示元器件必须有固定的标签框和机打标签。 </w:t>
      </w:r>
    </w:p>
    <w:p w14:paraId="6C150D2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电气安装后的配线必须排列整齐，用尼龙扎带绑扎成束或者敷设专用线槽内，并且固定在箱体上，配线要预留适宜的长度。</w:t>
      </w:r>
    </w:p>
    <w:p w14:paraId="72BC60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配电箱体的钢板必须采用冷轧钢板，落地柜要采用2.0mm厚的冷轧钢板制作，照明配电箱及控制箱大于等于600mm的用2.0mm的冷轧钢板制作，小于600mm的用1.5mm的冷轧钢板制作。</w:t>
      </w:r>
    </w:p>
    <w:p w14:paraId="26B90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配电箱的安装板、支架和电器金属外壳等均有良好的接地，配电箱、柜门要用裸铜软线穿透明塑料管与接地金属构件可靠连接。</w:t>
      </w:r>
    </w:p>
    <w:p w14:paraId="4FECE6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动力、照明配电箱内、地排、零排必须预留压线位置，接地螺栓，不小于M10的镀锌螺栓，接地点必须在箱体内左下角。</w:t>
      </w:r>
    </w:p>
    <w:p w14:paraId="0286B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组装配线，全部紧固件均采用镀锌件，二次配线均采用黑色线，加套管编序线径按照厂家或国家标准执行。</w:t>
      </w:r>
    </w:p>
    <w:p w14:paraId="0614CF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val="en-US" w:eastAsia="zh-CN"/>
        </w:rPr>
        <w:t>.电气安装后的配线必须排列整齐，用尼龙扎带绑扎成束或者敷设专用线槽内，并且固定在箱体上，配线要预留适宜的长度。</w:t>
      </w:r>
    </w:p>
    <w:p w14:paraId="435DCF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14.</w:t>
      </w:r>
      <w:r>
        <w:rPr>
          <w:rFonts w:hint="eastAsia" w:ascii="宋体" w:hAnsi="宋体" w:eastAsia="宋体" w:cs="宋体"/>
          <w:sz w:val="24"/>
          <w:szCs w:val="24"/>
          <w:lang w:val="en-US" w:eastAsia="zh-CN"/>
        </w:rPr>
        <w:t>配电箱内的配线必须按照设计图纸相序分色，且有颜色分相标志，相序标色L1黄色、L2绿色、L3红色、N蓝色、PE黄绿双色。</w:t>
      </w:r>
    </w:p>
    <w:p w14:paraId="475324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lang w:val="en-US" w:eastAsia="zh-CN"/>
        </w:rPr>
        <w:t>所有铜母线连接处做搪锡处理，裸露部分均喷黑色绝缘漆，贴色标。</w:t>
      </w:r>
    </w:p>
    <w:p w14:paraId="3C0174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配电箱内的N线、PE线必须设置汇流排，汇流排的大小必须符合设计要求或国家标准。PE线采用BVR线，线径按照GB50303-2002规范标准执行。</w:t>
      </w:r>
    </w:p>
    <w:p w14:paraId="7E0BA0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val="en-US" w:eastAsia="zh-CN"/>
        </w:rPr>
        <w:t xml:space="preserve">配电箱内的接线回路要按照设计回路用红色标签标注清楚。                               </w:t>
      </w:r>
    </w:p>
    <w:p w14:paraId="12F9EB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18.</w:t>
      </w:r>
      <w:r>
        <w:rPr>
          <w:rFonts w:hint="eastAsia" w:ascii="宋体" w:hAnsi="宋体" w:eastAsia="宋体" w:cs="宋体"/>
          <w:sz w:val="24"/>
          <w:szCs w:val="24"/>
          <w:lang w:val="en-US" w:eastAsia="zh-CN"/>
        </w:rPr>
        <w:t>质量证明资料齐全，材质符合国家标准要求.配电柜柜体厚度1.5mm，符合国家标准GB7251.1-2017要求。</w:t>
      </w:r>
    </w:p>
    <w:p w14:paraId="15D02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19.电缆满足</w:t>
      </w:r>
      <w:r>
        <w:rPr>
          <w:rFonts w:hint="eastAsia" w:ascii="宋体" w:hAnsi="宋体" w:eastAsia="宋体" w:cs="宋体"/>
          <w:sz w:val="24"/>
          <w:szCs w:val="24"/>
          <w:lang w:val="en-US" w:eastAsia="zh-CN"/>
        </w:rPr>
        <w:t xml:space="preserve">《电气装置安装工程，电缆线路施工及验收标准》-（GB-50168-2018）《电力工程电缆设计标准》(GB50217-2018) </w:t>
      </w:r>
    </w:p>
    <w:p w14:paraId="3CA5B1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20.桥架满足CECE31：91《钢制电缆桥架工程设计规范》</w:t>
      </w:r>
    </w:p>
    <w:p w14:paraId="56DA4754">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600694A9">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14:paraId="67615240">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14:paraId="643279C2">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0EB97D33">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供货业绩证明材料不少于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个</w:t>
      </w:r>
      <w:r>
        <w:rPr>
          <w:rFonts w:hint="eastAsia" w:ascii="宋体" w:hAnsi="宋体" w:cs="宋体"/>
          <w:sz w:val="24"/>
          <w:szCs w:val="24"/>
          <w:highlight w:val="none"/>
          <w:lang w:eastAsia="zh-CN"/>
        </w:rPr>
        <w:t>。</w:t>
      </w:r>
    </w:p>
    <w:p w14:paraId="16F022ED">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14:paraId="193E55C4">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本项目设备采购</w:t>
      </w:r>
      <w:r>
        <w:rPr>
          <w:rFonts w:hint="eastAsia" w:ascii="宋体" w:hAnsi="宋体" w:eastAsia="宋体" w:cs="宋体"/>
          <w:sz w:val="24"/>
          <w:szCs w:val="24"/>
          <w:lang w:val="en-US" w:eastAsia="zh-CN"/>
        </w:rPr>
        <w:t>，各报价单位根据设备清单及注意事项进行各项报价。</w:t>
      </w:r>
    </w:p>
    <w:p w14:paraId="7B46C2F4">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w:t>
      </w:r>
    </w:p>
    <w:p w14:paraId="38386DFA">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.报价人的投标报价，应是完成本项目范围及供货周期、质量的全部要求的内容。</w:t>
      </w:r>
    </w:p>
    <w:p w14:paraId="35A09BEF">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.投标报价均包括但不限于材料费、吊装费、仓储保管费、运输费、税费、日常维护基本常识培训、质保期维修，利润等一切相关费用，以及报价人在报价前明示或暗示的所有风险、责任和义务。</w:t>
      </w:r>
    </w:p>
    <w:p w14:paraId="43B1ECC9">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.报价人应综合考虑各种因素进行报价，凡在报价中未列明的，将视为优惠，认为报价人自行放弃该部分费用，结算时不进行调整。</w:t>
      </w:r>
    </w:p>
    <w:p w14:paraId="51019603">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.报价实行固定总价。</w:t>
      </w:r>
    </w:p>
    <w:p w14:paraId="3113E876">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.开具13%增值税专用发票。</w:t>
      </w:r>
    </w:p>
    <w:p w14:paraId="49546538">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.付款方式：</w:t>
      </w:r>
    </w:p>
    <w:p w14:paraId="62DE5B64">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产品交付经买方验收合格，卖方按照收货数量向买方出具全额增值税专用发票后20个工作日内，买方支付验收合格产品货款的</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80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%。产品投入使用后</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日无任何质量问题，买方支付货款至</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95  </w:t>
      </w:r>
      <w:r>
        <w:rPr>
          <w:rFonts w:hint="eastAsia" w:ascii="宋体" w:hAnsi="宋体" w:eastAsia="宋体" w:cs="宋体"/>
          <w:sz w:val="24"/>
          <w:szCs w:val="24"/>
          <w:highlight w:val="none"/>
          <w:lang w:eastAsia="zh-CN"/>
        </w:rPr>
        <w:t>%，剩余</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eastAsia="zh-CN"/>
        </w:rPr>
        <w:t>%作为质保金，产品质量保证期限届满后</w:t>
      </w:r>
      <w:r>
        <w:rPr>
          <w:rFonts w:hint="eastAsia" w:ascii="宋体" w:hAnsi="宋体" w:eastAsia="宋体" w:cs="宋体"/>
          <w:sz w:val="24"/>
          <w:szCs w:val="24"/>
          <w:highlight w:val="none"/>
          <w:lang w:val="en-US" w:eastAsia="zh-CN"/>
        </w:rPr>
        <w:t>1年</w:t>
      </w:r>
      <w:r>
        <w:rPr>
          <w:rFonts w:hint="eastAsia" w:ascii="宋体" w:hAnsi="宋体" w:eastAsia="宋体" w:cs="宋体"/>
          <w:sz w:val="24"/>
          <w:szCs w:val="24"/>
          <w:highlight w:val="none"/>
          <w:lang w:eastAsia="zh-CN"/>
        </w:rPr>
        <w:t>，如未发生质量问题，买方一次性无息付清质保金。</w:t>
      </w:r>
    </w:p>
    <w:p w14:paraId="010E5940">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供货期限：接买方订单计划后</w:t>
      </w:r>
      <w:r>
        <w:rPr>
          <w:rFonts w:hint="eastAsia" w:ascii="宋体" w:hAnsi="宋体" w:eastAsia="宋体" w:cs="宋体"/>
          <w:sz w:val="24"/>
          <w:szCs w:val="24"/>
          <w:highlight w:val="none"/>
          <w:u w:val="single"/>
          <w:lang w:val="en-US" w:eastAsia="zh-CN"/>
        </w:rPr>
        <w:t xml:space="preserve"> 20日</w:t>
      </w:r>
      <w:r>
        <w:rPr>
          <w:rFonts w:hint="eastAsia" w:ascii="宋体" w:hAnsi="宋体" w:eastAsia="宋体" w:cs="宋体"/>
          <w:sz w:val="24"/>
          <w:szCs w:val="24"/>
          <w:highlight w:val="none"/>
          <w:lang w:val="en-US" w:eastAsia="zh-CN"/>
        </w:rPr>
        <w:t xml:space="preserve">内 </w:t>
      </w:r>
    </w:p>
    <w:p w14:paraId="0057BBCC">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.各单位报价时不允许改动清单顺序，全部报价，分项报价表的类别按照报价清单标注的类别填写。</w:t>
      </w:r>
    </w:p>
    <w:p w14:paraId="35BD1473">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14:paraId="5F8EDC56">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14:paraId="367B6FEF">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14:paraId="1A963C2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14:paraId="0D14C825">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14:paraId="71E61CBD">
      <w:pPr>
        <w:pStyle w:val="52"/>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14:paraId="5DE9C561">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1.投标人向招标方交付的产品质量保证期为产品到货验收合格后12个月。</w:t>
      </w:r>
    </w:p>
    <w:p w14:paraId="0FB7E5C3">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14:paraId="3624F653">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14:paraId="35141846">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14:paraId="74655A2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14:paraId="7A1DDDE7">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14:paraId="5D0BCC13">
      <w:pPr>
        <w:pStyle w:val="52"/>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14:paraId="6BF6F719">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14:paraId="1B8CB9D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14:paraId="4BF40F37">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14:paraId="0BA5C80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14:paraId="66E71F51">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7E87AA7E">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2690699A">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、递交的资料及时间：</w:t>
      </w:r>
    </w:p>
    <w:p w14:paraId="07835FC6">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谈判响应函</w:t>
      </w:r>
    </w:p>
    <w:p w14:paraId="46140B84">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报价单</w:t>
      </w:r>
    </w:p>
    <w:p w14:paraId="30F2BE22">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配电柜配置详单</w:t>
      </w:r>
    </w:p>
    <w:p w14:paraId="273E94CD">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法定代表人授权委托书</w:t>
      </w:r>
    </w:p>
    <w:p w14:paraId="0781C5F6">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资质证明文件</w:t>
      </w:r>
    </w:p>
    <w:p w14:paraId="504575D0">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业绩证明资料</w:t>
      </w:r>
    </w:p>
    <w:p w14:paraId="5B5DE4A5">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信用证明资料</w:t>
      </w:r>
    </w:p>
    <w:p w14:paraId="6614834F">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质量保证和售后服务</w:t>
      </w:r>
    </w:p>
    <w:p w14:paraId="2D3BA0BF">
      <w:pPr>
        <w:numPr>
          <w:ilvl w:val="0"/>
          <w:numId w:val="3"/>
        </w:numPr>
        <w:spacing w:after="0"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竞争性谈判报价回执</w:t>
      </w:r>
    </w:p>
    <w:p w14:paraId="407D66E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谈判响应文件份数及其他要求：一套正本、两套副本，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1CAA421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（三）谈判响应文件应密封完好，递交时间：2024年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2点</w:t>
      </w:r>
      <w:bookmarkStart w:id="3" w:name="_GoBack"/>
      <w:bookmarkEnd w:id="3"/>
      <w:r>
        <w:rPr>
          <w:rFonts w:hint="eastAsia" w:ascii="宋体" w:hAnsi="宋体" w:cs="宋体"/>
          <w:sz w:val="24"/>
          <w:szCs w:val="24"/>
          <w:highlight w:val="none"/>
          <w:lang w:val="en-US" w:eastAsia="zh-CN"/>
        </w:rPr>
        <w:t>点</w:t>
      </w:r>
      <w:r>
        <w:rPr>
          <w:rFonts w:hint="eastAsia" w:ascii="宋体" w:hAnsi="宋体" w:eastAsia="宋体" w:cs="宋体"/>
          <w:sz w:val="24"/>
          <w:szCs w:val="24"/>
          <w:highlight w:val="none"/>
          <w:lang w:val="en-US" w:eastAsia="zh-CN"/>
        </w:rPr>
        <w:t>前，地点：陕西省西安市高陵区中钢大道陕西燃气集团工程有限公司。逾期送达的或者未送达指定地点的报价文件，逾期恕不接受。</w:t>
      </w:r>
    </w:p>
    <w:p w14:paraId="45CDCFD6">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14:paraId="31B966F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eastAsia="zh-CN"/>
        </w:rPr>
        <w:t>西安市高陵区中钢大道中段</w:t>
      </w:r>
    </w:p>
    <w:p w14:paraId="1D6599C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晋稳良</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cs="宋体"/>
          <w:sz w:val="24"/>
          <w:szCs w:val="24"/>
          <w:highlight w:val="none"/>
          <w:lang w:val="en-US" w:eastAsia="zh-CN"/>
        </w:rPr>
        <w:t>13474019266</w:t>
      </w:r>
      <w:r>
        <w:rPr>
          <w:rFonts w:hint="eastAsia" w:ascii="宋体" w:hAnsi="宋体" w:eastAsia="宋体" w:cs="宋体"/>
          <w:sz w:val="24"/>
          <w:szCs w:val="24"/>
          <w:highlight w:val="none"/>
          <w:lang w:val="en-US" w:eastAsia="zh-CN"/>
        </w:rPr>
        <w:t xml:space="preserve"> </w:t>
      </w:r>
    </w:p>
    <w:p w14:paraId="2525A2E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采购联系人：吴奕澄</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cs="宋体"/>
          <w:sz w:val="24"/>
          <w:szCs w:val="24"/>
          <w:highlight w:val="none"/>
          <w:lang w:val="en-US" w:eastAsia="zh-CN"/>
        </w:rPr>
        <w:t>17792286363</w:t>
      </w:r>
      <w:r>
        <w:rPr>
          <w:rFonts w:hint="eastAsia" w:ascii="宋体" w:hAnsi="宋体" w:eastAsia="宋体" w:cs="宋体"/>
          <w:sz w:val="24"/>
          <w:szCs w:val="24"/>
          <w:highlight w:val="none"/>
          <w:lang w:val="en-US" w:eastAsia="zh-CN"/>
        </w:rPr>
        <w:t xml:space="preserve"> </w:t>
      </w:r>
    </w:p>
    <w:bookmarkEnd w:id="0"/>
    <w:p w14:paraId="376DEF5E">
      <w:pPr>
        <w:ind w:firstLine="482" w:firstLineChars="200"/>
        <w:jc w:val="both"/>
        <w:rPr>
          <w:rFonts w:hint="eastAsia" w:ascii="宋体" w:hAnsi="宋体" w:eastAsia="宋体" w:cs="宋体"/>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7218"/>
      </w:tblGrid>
      <w:tr w14:paraId="019C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2361" w:type="dxa"/>
            <w:vAlign w:val="center"/>
          </w:tcPr>
          <w:p w14:paraId="5ACB8637">
            <w:pPr>
              <w:keepNext w:val="0"/>
              <w:keepLines w:val="0"/>
              <w:pageBreakBefore w:val="0"/>
              <w:widowControl/>
              <w:kinsoku/>
              <w:wordWrap/>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7218" w:type="dxa"/>
            <w:vAlign w:val="center"/>
          </w:tcPr>
          <w:p w14:paraId="527BD8B1">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6548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9579" w:type="dxa"/>
            <w:gridSpan w:val="2"/>
            <w:vAlign w:val="center"/>
          </w:tcPr>
          <w:p w14:paraId="79E349FE">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7FC7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2361" w:type="dxa"/>
            <w:vAlign w:val="center"/>
          </w:tcPr>
          <w:p w14:paraId="1879A793">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440D09AB">
            <w:pPr>
              <w:pStyle w:val="26"/>
              <w:keepNext w:val="0"/>
              <w:keepLines w:val="0"/>
              <w:pageBreakBefore w:val="0"/>
              <w:widowControl/>
              <w:kinsoku/>
              <w:wordWrap/>
              <w:topLinePunct w:val="0"/>
              <w:bidi w:val="0"/>
              <w:adjustRightInd/>
              <w:snapToGrid/>
              <w:spacing w:after="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7218" w:type="dxa"/>
            <w:vAlign w:val="center"/>
          </w:tcPr>
          <w:p w14:paraId="40FC336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56B4C3F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2.响应单位在“国家企业信用信息公示系统”网站、“信用中国”网站未被列为失信被执行人（提供查询结果网页截图）；</w:t>
            </w:r>
          </w:p>
          <w:p w14:paraId="6379D3F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14:paraId="04ADB8D5">
            <w:pPr>
              <w:pageBreakBefore w:val="0"/>
              <w:widowControl/>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14:paraId="2858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2361" w:type="dxa"/>
            <w:vAlign w:val="center"/>
          </w:tcPr>
          <w:p w14:paraId="0625CF09">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14:paraId="32DCCABB">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7218" w:type="dxa"/>
            <w:vAlign w:val="center"/>
          </w:tcPr>
          <w:p w14:paraId="34899BCB">
            <w:pPr>
              <w:pStyle w:val="57"/>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总评价分=商务分</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+业绩分</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+质量分</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+售后分</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r>
    </w:tbl>
    <w:p w14:paraId="1BE03C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9"/>
        <w:tblpPr w:leftFromText="180" w:rightFromText="180" w:vertAnchor="text" w:horzAnchor="page" w:tblpXSpec="center" w:tblpY="530"/>
        <w:tblOverlap w:val="never"/>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1098"/>
        <w:gridCol w:w="781"/>
        <w:gridCol w:w="7361"/>
      </w:tblGrid>
      <w:tr w14:paraId="17C5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77" w:type="dxa"/>
            <w:tcBorders>
              <w:bottom w:val="single" w:color="auto" w:sz="4" w:space="0"/>
            </w:tcBorders>
            <w:vAlign w:val="center"/>
          </w:tcPr>
          <w:p w14:paraId="06180F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14:paraId="082C093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1098" w:type="dxa"/>
            <w:tcBorders>
              <w:bottom w:val="single" w:color="auto" w:sz="4" w:space="0"/>
            </w:tcBorders>
          </w:tcPr>
          <w:p w14:paraId="4963ED4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14:paraId="055670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81" w:type="dxa"/>
            <w:tcBorders>
              <w:bottom w:val="single" w:color="auto" w:sz="4" w:space="0"/>
            </w:tcBorders>
            <w:tcMar>
              <w:top w:w="0" w:type="dxa"/>
              <w:left w:w="108" w:type="dxa"/>
              <w:bottom w:w="0" w:type="dxa"/>
              <w:right w:w="108" w:type="dxa"/>
            </w:tcMar>
            <w:vAlign w:val="center"/>
          </w:tcPr>
          <w:p w14:paraId="308DA11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7361" w:type="dxa"/>
            <w:tcMar>
              <w:top w:w="0" w:type="dxa"/>
              <w:left w:w="108" w:type="dxa"/>
              <w:bottom w:w="0" w:type="dxa"/>
              <w:right w:w="108" w:type="dxa"/>
            </w:tcMar>
            <w:vAlign w:val="center"/>
          </w:tcPr>
          <w:p w14:paraId="0AA42C4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74B1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6" w:hRule="atLeast"/>
          <w:jc w:val="center"/>
        </w:trPr>
        <w:tc>
          <w:tcPr>
            <w:tcW w:w="677" w:type="dxa"/>
            <w:vMerge w:val="restart"/>
            <w:tcBorders>
              <w:top w:val="single" w:color="auto" w:sz="4" w:space="0"/>
              <w:left w:val="single" w:color="auto" w:sz="4" w:space="0"/>
              <w:right w:val="single" w:color="auto" w:sz="4" w:space="0"/>
            </w:tcBorders>
            <w:vAlign w:val="center"/>
          </w:tcPr>
          <w:p w14:paraId="783AD1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14:paraId="6077C09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1098" w:type="dxa"/>
            <w:tcBorders>
              <w:top w:val="single" w:color="auto" w:sz="4" w:space="0"/>
              <w:left w:val="single" w:color="auto" w:sz="4" w:space="0"/>
              <w:bottom w:val="single" w:color="auto" w:sz="4" w:space="0"/>
              <w:right w:val="single" w:color="auto" w:sz="4" w:space="0"/>
            </w:tcBorders>
            <w:vAlign w:val="center"/>
          </w:tcPr>
          <w:p w14:paraId="5B5121E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商务报价</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AA3B1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7361" w:type="dxa"/>
            <w:tcBorders>
              <w:left w:val="single" w:color="auto" w:sz="4" w:space="0"/>
            </w:tcBorders>
            <w:tcMar>
              <w:top w:w="0" w:type="dxa"/>
              <w:left w:w="108" w:type="dxa"/>
              <w:bottom w:w="0" w:type="dxa"/>
              <w:right w:w="108" w:type="dxa"/>
            </w:tcMar>
            <w:vAlign w:val="center"/>
          </w:tcPr>
          <w:p w14:paraId="7BA34DE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14:paraId="7E91317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r>
              <w:rPr>
                <w:rFonts w:hint="eastAsia" w:ascii="宋体" w:hAnsi="宋体" w:cs="宋体"/>
                <w:sz w:val="21"/>
                <w:szCs w:val="21"/>
                <w:lang w:val="en-US" w:eastAsia="zh-CN"/>
              </w:rPr>
              <w:t>.</w:t>
            </w:r>
          </w:p>
          <w:p w14:paraId="209348C3">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3.报价得分：最终报价高于投标基准价：每高于基准价1%，扣1分；</w:t>
            </w:r>
            <w:r>
              <w:rPr>
                <w:rFonts w:hint="eastAsia" w:ascii="宋体" w:hAnsi="宋体" w:eastAsia="宋体" w:cs="宋体"/>
                <w:sz w:val="21"/>
                <w:szCs w:val="21"/>
                <w:lang w:val="en-US" w:eastAsia="zh-CN"/>
              </w:rPr>
              <w:t xml:space="preserve">       </w:t>
            </w:r>
          </w:p>
          <w:p w14:paraId="2423978A">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12964292">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14:paraId="3A26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677" w:type="dxa"/>
            <w:vMerge w:val="continue"/>
            <w:tcBorders>
              <w:left w:val="single" w:color="auto" w:sz="4" w:space="0"/>
              <w:right w:val="single" w:color="auto" w:sz="4" w:space="0"/>
            </w:tcBorders>
            <w:vAlign w:val="center"/>
          </w:tcPr>
          <w:p w14:paraId="752DC1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111527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业绩证明</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0488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10</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4644FB81">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谈判响应单位提供其近三年的同类业绩合同，提供一份得</w:t>
            </w:r>
            <w:r>
              <w:rPr>
                <w:rFonts w:hint="eastAsia" w:ascii="宋体" w:hAnsi="宋体" w:cs="宋体"/>
                <w:sz w:val="21"/>
                <w:szCs w:val="21"/>
                <w:lang w:val="en-US" w:eastAsia="zh-CN"/>
              </w:rPr>
              <w:t>2</w:t>
            </w:r>
            <w:r>
              <w:rPr>
                <w:rFonts w:hint="eastAsia" w:ascii="宋体" w:hAnsi="宋体" w:eastAsia="宋体" w:cs="宋体"/>
                <w:sz w:val="21"/>
                <w:szCs w:val="21"/>
                <w:lang w:eastAsia="zh-CN"/>
              </w:rPr>
              <w:t>分，最高得</w:t>
            </w:r>
            <w:r>
              <w:rPr>
                <w:rFonts w:hint="eastAsia" w:ascii="宋体" w:hAnsi="宋体" w:cs="宋体"/>
                <w:sz w:val="21"/>
                <w:szCs w:val="21"/>
                <w:lang w:val="en-US" w:eastAsia="zh-CN"/>
              </w:rPr>
              <w:t>10</w:t>
            </w:r>
            <w:r>
              <w:rPr>
                <w:rFonts w:hint="eastAsia" w:ascii="宋体" w:hAnsi="宋体" w:eastAsia="宋体" w:cs="宋体"/>
                <w:sz w:val="21"/>
                <w:szCs w:val="21"/>
                <w:lang w:eastAsia="zh-CN"/>
              </w:rPr>
              <w:t>分，不提供得0分。</w:t>
            </w:r>
          </w:p>
        </w:tc>
      </w:tr>
      <w:tr w14:paraId="044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jc w:val="center"/>
        </w:trPr>
        <w:tc>
          <w:tcPr>
            <w:tcW w:w="677" w:type="dxa"/>
            <w:vMerge w:val="continue"/>
            <w:tcBorders>
              <w:left w:val="single" w:color="auto" w:sz="4" w:space="0"/>
              <w:right w:val="single" w:color="auto" w:sz="4" w:space="0"/>
            </w:tcBorders>
            <w:vAlign w:val="center"/>
          </w:tcPr>
          <w:p w14:paraId="08A39B7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6A3541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质量保证</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4383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6BEA57D1">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供应产品的技术指标和性能对谈判文件的响应程度。其技术指标和性能优于谈判文件要求的得</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eastAsia="zh-CN"/>
              </w:rPr>
              <w:t>分，完全响应得</w:t>
            </w:r>
            <w:r>
              <w:rPr>
                <w:rFonts w:hint="eastAsia" w:ascii="宋体" w:hAnsi="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sz w:val="21"/>
                <w:szCs w:val="21"/>
                <w:lang w:val="en-US" w:eastAsia="zh-CN"/>
              </w:rPr>
              <w:t>10</w:t>
            </w:r>
            <w:r>
              <w:rPr>
                <w:rFonts w:hint="eastAsia" w:ascii="宋体" w:hAnsi="宋体" w:eastAsia="宋体" w:cs="宋体"/>
                <w:sz w:val="21"/>
                <w:szCs w:val="21"/>
                <w:lang w:eastAsia="zh-CN"/>
              </w:rPr>
              <w:t>分，部分响应得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分，不响应得0分。</w:t>
            </w:r>
          </w:p>
        </w:tc>
      </w:tr>
      <w:tr w14:paraId="68BA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7" w:hRule="atLeast"/>
          <w:jc w:val="center"/>
        </w:trPr>
        <w:tc>
          <w:tcPr>
            <w:tcW w:w="677" w:type="dxa"/>
            <w:vMerge w:val="continue"/>
            <w:tcBorders>
              <w:left w:val="single" w:color="auto" w:sz="4" w:space="0"/>
              <w:right w:val="single" w:color="auto" w:sz="4" w:space="0"/>
            </w:tcBorders>
            <w:vAlign w:val="center"/>
          </w:tcPr>
          <w:p w14:paraId="71E2482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0B7B9B9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DAF4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22757169">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建立完善的售后服务体系，对本次供应产品的售后服务措施、内容等进行详细说明，具有可操作性。较好的得</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分，基本满足得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分，不满足得0分。</w:t>
            </w:r>
          </w:p>
        </w:tc>
      </w:tr>
    </w:tbl>
    <w:p w14:paraId="79F93F42">
      <w:pPr>
        <w:jc w:val="center"/>
        <w:rPr>
          <w:rFonts w:hint="eastAsia" w:ascii="宋体" w:hAnsi="宋体" w:eastAsia="宋体" w:cs="宋体"/>
          <w:sz w:val="24"/>
          <w:szCs w:val="24"/>
        </w:rPr>
      </w:pPr>
    </w:p>
    <w:p w14:paraId="6837DE73">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14:paraId="75FF4563">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151E3056">
      <w:pPr>
        <w:spacing w:after="0" w:line="360" w:lineRule="auto"/>
        <w:ind w:firstLine="3600" w:firstLineChars="1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陕西燃气集团工程有限公司</w:t>
      </w:r>
    </w:p>
    <w:p w14:paraId="5392B264">
      <w:pPr>
        <w:spacing w:after="0" w:line="360" w:lineRule="auto"/>
        <w:ind w:firstLine="4560" w:firstLineChars="1900"/>
        <w:rPr>
          <w:rFonts w:ascii="宋体" w:hAnsi="宋体" w:eastAsia="宋体" w:cs="宋体"/>
          <w:b/>
          <w:bCs/>
          <w:sz w:val="32"/>
          <w:szCs w:val="32"/>
          <w:lang w:eastAsia="zh-CN"/>
        </w:rPr>
      </w:pPr>
      <w:r>
        <w:rPr>
          <w:rFonts w:hint="eastAsia" w:ascii="宋体" w:hAnsi="宋体" w:cs="宋体"/>
          <w:sz w:val="24"/>
          <w:szCs w:val="24"/>
          <w:lang w:val="en-US" w:eastAsia="zh-CN"/>
        </w:rPr>
        <w:t>2024年7月19日</w:t>
      </w:r>
      <w:r>
        <w:rPr>
          <w:rFonts w:hint="eastAsia" w:ascii="宋体" w:hAnsi="宋体" w:eastAsia="宋体" w:cs="宋体"/>
          <w:b/>
          <w:bCs/>
          <w:sz w:val="24"/>
          <w:szCs w:val="24"/>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14:paraId="7FBE00B5">
      <w:pPr>
        <w:jc w:val="right"/>
        <w:rPr>
          <w:rFonts w:hint="eastAsia" w:ascii="宋体" w:hAnsi="宋体" w:eastAsia="宋体" w:cs="宋体"/>
          <w:b/>
          <w:sz w:val="32"/>
          <w:szCs w:val="32"/>
          <w:highlight w:val="none"/>
        </w:rPr>
        <w:sectPr>
          <w:footerReference r:id="rId4" w:type="default"/>
          <w:pgSz w:w="11906" w:h="16838"/>
          <w:pgMar w:top="2098" w:right="1474" w:bottom="1928" w:left="1587" w:header="851" w:footer="992" w:gutter="0"/>
          <w:pgNumType w:fmt="numberInDash" w:start="1"/>
          <w:cols w:space="720" w:num="1"/>
          <w:docGrid w:type="lines" w:linePitch="312" w:charSpace="0"/>
        </w:sectPr>
      </w:pPr>
    </w:p>
    <w:p w14:paraId="3FB6D0EC">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14:paraId="012B3FB9">
      <w:pPr>
        <w:jc w:val="right"/>
        <w:rPr>
          <w:rFonts w:hint="eastAsia" w:ascii="宋体" w:hAnsi="宋体" w:eastAsia="宋体" w:cs="宋体"/>
          <w:b/>
          <w:sz w:val="32"/>
          <w:szCs w:val="32"/>
          <w:highlight w:val="none"/>
        </w:rPr>
      </w:pPr>
    </w:p>
    <w:p w14:paraId="703431DB">
      <w:pPr>
        <w:jc w:val="center"/>
        <w:rPr>
          <w:rFonts w:hint="eastAsia" w:ascii="宋体" w:hAnsi="宋体" w:eastAsia="宋体" w:cs="宋体"/>
          <w:b/>
          <w:bCs/>
          <w:kern w:val="0"/>
          <w:sz w:val="52"/>
          <w:szCs w:val="52"/>
          <w:highlight w:val="none"/>
        </w:rPr>
      </w:pPr>
      <w:r>
        <w:rPr>
          <w:rFonts w:hint="eastAsia" w:ascii="宋体" w:hAnsi="宋体" w:cs="宋体"/>
          <w:b/>
          <w:bCs/>
          <w:kern w:val="0"/>
          <w:sz w:val="52"/>
          <w:szCs w:val="52"/>
          <w:highlight w:val="none"/>
          <w:lang w:eastAsia="zh-CN"/>
        </w:rPr>
        <w:t>陕西燃气</w:t>
      </w:r>
      <w:r>
        <w:rPr>
          <w:rFonts w:hint="eastAsia" w:ascii="宋体" w:hAnsi="宋体" w:eastAsia="宋体" w:cs="宋体"/>
          <w:b/>
          <w:bCs/>
          <w:kern w:val="0"/>
          <w:sz w:val="52"/>
          <w:szCs w:val="52"/>
          <w:highlight w:val="none"/>
        </w:rPr>
        <w:t>集团工程有限公司</w:t>
      </w:r>
    </w:p>
    <w:p w14:paraId="73BC6BD5">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西安国际港务区能源站工程锅炉房扩建项目建筑及室外工程建设工程</w:t>
      </w:r>
    </w:p>
    <w:p w14:paraId="15A90515">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sz w:val="52"/>
          <w:szCs w:val="52"/>
          <w:highlight w:val="none"/>
          <w:lang w:val="en-US" w:eastAsia="zh-CN"/>
        </w:rPr>
        <w:t>电气材料采购</w:t>
      </w:r>
    </w:p>
    <w:p w14:paraId="34F87AD8">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55087409">
      <w:pPr>
        <w:pStyle w:val="10"/>
        <w:rPr>
          <w:rFonts w:hint="eastAsia"/>
        </w:rPr>
      </w:pPr>
    </w:p>
    <w:p w14:paraId="300A1DD7">
      <w:pPr>
        <w:rPr>
          <w:rFonts w:hint="eastAsia" w:ascii="宋体" w:hAnsi="宋体" w:eastAsia="宋体" w:cs="宋体"/>
          <w:b/>
          <w:sz w:val="36"/>
          <w:szCs w:val="36"/>
          <w:highlight w:val="none"/>
        </w:rPr>
      </w:pPr>
    </w:p>
    <w:p w14:paraId="4324E29A">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14:paraId="547D8168">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2D60FDA5">
      <w:pPr>
        <w:rPr>
          <w:rFonts w:hint="eastAsia" w:ascii="宋体" w:hAnsi="宋体" w:eastAsia="宋体" w:cs="宋体"/>
          <w:b/>
          <w:sz w:val="36"/>
          <w:szCs w:val="36"/>
          <w:highlight w:val="none"/>
        </w:rPr>
      </w:pPr>
    </w:p>
    <w:p w14:paraId="2CDAB263">
      <w:pPr>
        <w:pStyle w:val="14"/>
        <w:rPr>
          <w:rFonts w:hint="eastAsia" w:ascii="宋体" w:hAnsi="宋体" w:eastAsia="宋体" w:cs="宋体"/>
          <w:b/>
          <w:sz w:val="36"/>
          <w:szCs w:val="36"/>
          <w:highlight w:val="none"/>
        </w:rPr>
      </w:pPr>
    </w:p>
    <w:p w14:paraId="737ED391">
      <w:pPr>
        <w:rPr>
          <w:rFonts w:hint="eastAsia" w:ascii="宋体" w:hAnsi="宋体" w:eastAsia="宋体" w:cs="宋体"/>
          <w:b/>
          <w:sz w:val="36"/>
          <w:szCs w:val="36"/>
          <w:highlight w:val="none"/>
        </w:rPr>
      </w:pPr>
    </w:p>
    <w:p w14:paraId="6EFE2CE9">
      <w:pPr>
        <w:pStyle w:val="14"/>
        <w:rPr>
          <w:rFonts w:hint="eastAsia"/>
        </w:rPr>
      </w:pPr>
    </w:p>
    <w:p w14:paraId="4F673237">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3DC71F5">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32CDB940">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4EBC34BE">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月</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bookmarkEnd w:id="1"/>
    <w:p w14:paraId="66A9E456">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57B925B5">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w:t>
      </w:r>
      <w:r>
        <w:rPr>
          <w:rFonts w:hint="eastAsia" w:ascii="宋体" w:hAnsi="宋体" w:eastAsia="宋体" w:cs="宋体"/>
          <w:b/>
          <w:bCs/>
          <w:spacing w:val="4"/>
          <w:sz w:val="28"/>
          <w:szCs w:val="28"/>
          <w:lang w:val="en-US" w:eastAsia="zh-CN"/>
        </w:rPr>
        <w:t>单</w:t>
      </w:r>
    </w:p>
    <w:p w14:paraId="55E06365">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val="en-US" w:eastAsia="zh-CN"/>
        </w:rPr>
        <w:t>配电柜配置详单</w:t>
      </w:r>
    </w:p>
    <w:p w14:paraId="023D9E59">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542F9AD3">
      <w:pPr>
        <w:pStyle w:val="2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资质证明文件</w:t>
      </w:r>
    </w:p>
    <w:p w14:paraId="1BD07BCC">
      <w:pPr>
        <w:pStyle w:val="2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业绩证明资料</w:t>
      </w:r>
    </w:p>
    <w:p w14:paraId="04246135">
      <w:pPr>
        <w:pStyle w:val="2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bookmarkStart w:id="2" w:name="_Hlk69461859"/>
      <w:r>
        <w:rPr>
          <w:rFonts w:hint="eastAsia" w:ascii="宋体" w:hAnsi="宋体" w:eastAsia="宋体" w:cs="宋体"/>
          <w:b/>
          <w:bCs/>
          <w:spacing w:val="4"/>
          <w:sz w:val="28"/>
          <w:szCs w:val="28"/>
          <w:lang w:eastAsia="zh-CN"/>
        </w:rPr>
        <w:t>信用证明资料</w:t>
      </w:r>
    </w:p>
    <w:p w14:paraId="77609553">
      <w:pPr>
        <w:pStyle w:val="2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质量保证和售后服务</w:t>
      </w:r>
    </w:p>
    <w:bookmarkEnd w:id="2"/>
    <w:p w14:paraId="699F29EA">
      <w:pPr>
        <w:pStyle w:val="2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240" w:lineRule="auto"/>
        <w:ind w:left="0" w:leftChars="0"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竞争性谈判报价回执</w:t>
      </w:r>
    </w:p>
    <w:p w14:paraId="2635665A">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14:paraId="290487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14:paraId="1BACE2EE">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陕西</w:t>
      </w:r>
      <w:r>
        <w:rPr>
          <w:rFonts w:hint="eastAsia" w:ascii="宋体" w:hAnsi="宋体" w:eastAsia="宋体" w:cs="宋体"/>
          <w:color w:val="auto"/>
          <w:sz w:val="28"/>
          <w:szCs w:val="28"/>
          <w:lang w:eastAsia="zh-CN"/>
        </w:rPr>
        <w:t>燃气集团工程有限公司</w:t>
      </w:r>
      <w:r>
        <w:rPr>
          <w:rFonts w:hint="eastAsia" w:ascii="宋体" w:hAnsi="宋体" w:eastAsia="宋体" w:cs="宋体"/>
          <w:color w:val="auto"/>
          <w:sz w:val="28"/>
          <w:szCs w:val="28"/>
        </w:rPr>
        <w:t>：</w:t>
      </w:r>
    </w:p>
    <w:p w14:paraId="12A39CFB">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我们收到贵公司</w:t>
      </w:r>
      <w:r>
        <w:rPr>
          <w:rFonts w:hint="eastAsia" w:ascii="宋体" w:hAnsi="宋体" w:eastAsia="宋体" w:cs="宋体"/>
          <w:color w:val="auto"/>
          <w:sz w:val="28"/>
          <w:szCs w:val="28"/>
          <w:u w:val="single"/>
          <w:lang w:val="en-US" w:eastAsia="zh-CN"/>
        </w:rPr>
        <w:t>西安国际港务区能源站工程锅炉房扩建项目建筑及室外工程建设工程电气材料采购</w:t>
      </w:r>
      <w:r>
        <w:rPr>
          <w:rFonts w:hint="eastAsia" w:ascii="宋体" w:hAnsi="宋体" w:eastAsia="宋体" w:cs="宋体"/>
          <w:color w:val="auto"/>
          <w:sz w:val="28"/>
          <w:szCs w:val="28"/>
        </w:rPr>
        <w:t>的谈判文件，经</w:t>
      </w:r>
      <w:r>
        <w:rPr>
          <w:rFonts w:hint="eastAsia" w:ascii="宋体" w:hAnsi="宋体" w:eastAsia="宋体" w:cs="宋体"/>
          <w:color w:val="auto"/>
          <w:sz w:val="28"/>
          <w:szCs w:val="28"/>
          <w:lang w:eastAsia="zh-CN"/>
        </w:rPr>
        <w:t>了解</w:t>
      </w:r>
      <w:r>
        <w:rPr>
          <w:rFonts w:hint="eastAsia" w:ascii="宋体" w:hAnsi="宋体" w:eastAsia="宋体" w:cs="宋体"/>
          <w:color w:val="auto"/>
          <w:sz w:val="28"/>
          <w:szCs w:val="28"/>
        </w:rPr>
        <w:t>及澄清疑问，已充分理解并掌握了本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谈判的全部情况，同意接受谈判文件的全部内容和条件，并按此确定本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 xml:space="preserve">的要约内容。 </w:t>
      </w:r>
    </w:p>
    <w:p w14:paraId="07DA4D6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1、本文件项下的所有内容，组成了我们的谈判响应文件，并且该文件内的所有内容都是真实的。</w:t>
      </w:r>
    </w:p>
    <w:p w14:paraId="4603887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2、我们完全同意谈判文件规定的谈判程序及评审方法，我们完全接受并认同谈判文件的全部内容，愿意遵守谈判文件中的各项规定。</w:t>
      </w:r>
    </w:p>
    <w:p w14:paraId="48063DD4">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3、一旦我方成交，我方保证按期</w:t>
      </w:r>
      <w:r>
        <w:rPr>
          <w:rFonts w:hint="eastAsia" w:ascii="宋体" w:hAnsi="宋体" w:eastAsia="宋体" w:cs="宋体"/>
          <w:color w:val="auto"/>
          <w:sz w:val="28"/>
          <w:szCs w:val="28"/>
          <w:lang w:eastAsia="zh-CN"/>
        </w:rPr>
        <w:t>供应材料</w:t>
      </w:r>
      <w:r>
        <w:rPr>
          <w:rFonts w:hint="eastAsia" w:ascii="宋体" w:hAnsi="宋体" w:eastAsia="宋体" w:cs="宋体"/>
          <w:color w:val="auto"/>
          <w:sz w:val="28"/>
          <w:szCs w:val="28"/>
        </w:rPr>
        <w:t>；质量承诺达到</w:t>
      </w:r>
      <w:r>
        <w:rPr>
          <w:rFonts w:hint="eastAsia" w:ascii="宋体" w:hAnsi="宋体" w:eastAsia="宋体" w:cs="宋体"/>
          <w:color w:val="auto"/>
          <w:sz w:val="28"/>
          <w:szCs w:val="28"/>
          <w:u w:val="single"/>
        </w:rPr>
        <w:t>合格</w:t>
      </w:r>
      <w:r>
        <w:rPr>
          <w:rFonts w:hint="eastAsia" w:ascii="宋体" w:hAnsi="宋体" w:eastAsia="宋体" w:cs="宋体"/>
          <w:color w:val="auto"/>
          <w:sz w:val="28"/>
          <w:szCs w:val="28"/>
        </w:rPr>
        <w:t>验收标准。</w:t>
      </w:r>
    </w:p>
    <w:p w14:paraId="4E43DA41">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4、如由我方成交，我方保证在接到</w:t>
      </w:r>
      <w:r>
        <w:rPr>
          <w:rFonts w:hint="eastAsia" w:ascii="宋体" w:hAnsi="宋体" w:eastAsia="宋体" w:cs="宋体"/>
          <w:color w:val="auto"/>
          <w:sz w:val="28"/>
          <w:szCs w:val="28"/>
          <w:lang w:eastAsia="zh-CN"/>
        </w:rPr>
        <w:t>你方通知后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天内，按成交通知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谈判文件和本谈判响应函的约定签订合同，履行规定的一切责任和义务。</w:t>
      </w:r>
    </w:p>
    <w:p w14:paraId="0E20580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5、对于贵公司要求进一步提供的其它资料，我们愿意尽快提供或答复。</w:t>
      </w:r>
    </w:p>
    <w:p w14:paraId="159ED7DE">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8"/>
          <w:szCs w:val="28"/>
        </w:rPr>
        <w:t>6、所有关于本次谈判响应函电联系，请寄到下列地址：</w:t>
      </w:r>
    </w:p>
    <w:p w14:paraId="7C729E3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0A82BC62">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78804D8B">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4CFEA7FF">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2F24981C">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477C2FAF">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5B9A4C57">
      <w:pPr>
        <w:spacing w:line="360" w:lineRule="auto"/>
        <w:outlineLvl w:val="1"/>
        <w:rPr>
          <w:rFonts w:hint="eastAsia" w:ascii="仿宋_GB2312" w:hAnsi="宋体" w:eastAsia="仿宋_GB2312"/>
          <w:color w:val="auto"/>
          <w:spacing w:val="4"/>
          <w:sz w:val="24"/>
        </w:rPr>
      </w:pPr>
    </w:p>
    <w:p w14:paraId="7D11AFEA">
      <w:pPr>
        <w:pStyle w:val="7"/>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D23F1DC">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14:paraId="5BC30831">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14:paraId="37B2314F">
      <w:pPr>
        <w:numPr>
          <w:ilvl w:val="0"/>
          <w:numId w:val="5"/>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西安国际港务区能源站工程锅炉房扩建项目建筑及室外工程电气材料采购</w:t>
      </w:r>
      <w:r>
        <w:rPr>
          <w:rFonts w:hint="eastAsia" w:ascii="仿宋" w:hAnsi="仿宋" w:eastAsia="仿宋" w:cs="仿宋_GB2312"/>
          <w:sz w:val="32"/>
          <w:szCs w:val="32"/>
          <w:lang w:eastAsia="zh-CN"/>
        </w:rPr>
        <w:t>事宜，结合市场行情，我方本次材料报价为：</w:t>
      </w:r>
      <w:r>
        <w:rPr>
          <w:rFonts w:hint="eastAsia" w:ascii="仿宋" w:hAnsi="仿宋" w:eastAsia="仿宋" w:cs="仿宋_GB2312"/>
          <w:sz w:val="32"/>
          <w:szCs w:val="32"/>
          <w:lang w:val="en-US" w:eastAsia="zh-CN"/>
        </w:rPr>
        <w:t xml:space="preserve">                               单位：元</w:t>
      </w:r>
    </w:p>
    <w:tbl>
      <w:tblPr>
        <w:tblStyle w:val="19"/>
        <w:tblW w:w="14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82"/>
        <w:gridCol w:w="5507"/>
        <w:gridCol w:w="1027"/>
        <w:gridCol w:w="1261"/>
        <w:gridCol w:w="1261"/>
        <w:gridCol w:w="1261"/>
        <w:gridCol w:w="1261"/>
        <w:gridCol w:w="1261"/>
      </w:tblGrid>
      <w:tr w14:paraId="2D45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E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0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6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6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8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E0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含税单价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9A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含税总价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1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生产厂家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71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7FB5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5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3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5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钢制梯式桥架 200*100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0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8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A6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9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9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B6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A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8B87">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5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桥架CT-800*200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A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20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6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A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E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A8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5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9704">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桥架CT-100*100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6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5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C0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9F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3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1D47">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桥架CT-600*200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E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D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F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9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66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A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1E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E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C4B0">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8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桥架CT-400*200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0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D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0D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60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C3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F3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E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D5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KVV-4X1.5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2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B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7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3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5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5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81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7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CB56">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3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B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E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B1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7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5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26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1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23DF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C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C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E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45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E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C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C5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97AB">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1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YJV-4X4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A5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E0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E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29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6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6589D">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8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YFD-RTXMY-3(1x4)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A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A7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D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44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6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EA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D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1106">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5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NH-RVVP-2*1.5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A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C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F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7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9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D5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D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5D07">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D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WDZN-RYSP-2*1.5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4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2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2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08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3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2DA2">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WDZN-RYSP-2*2.5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3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2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4B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3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5C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1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27E4B">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KVV-6X1.5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4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B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E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7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85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A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F9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E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6CF1">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8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ZR-KVV-4x1.5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5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4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2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3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5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5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52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5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0C5A4">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3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KVV-8X1.5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9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18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A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8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C1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90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0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FFF7">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7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YHS-4x2.5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C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B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A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F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C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16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1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6B62">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6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YJV-5X6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7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D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3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FC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CD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8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DCB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7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YJV-5X10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B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6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2E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D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C9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2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83B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C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NH-YJV-4X35+1X16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C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78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2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C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2A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4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DAA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C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NH-RVS-2x1.5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6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6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A3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A8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3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F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CD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C3DB">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NH-RVVP-2X1.5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2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2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7B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1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8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F0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E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A443">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4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NH-BV-2X1.5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C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2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E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A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B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4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40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6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91B0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E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NH-BV-2X2.5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0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D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66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6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BD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2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BD4CD">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2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NH-BV-2X4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8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C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E1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C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97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3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2000">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A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B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6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BD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3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E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D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98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2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A1B1">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4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NH-BV-2.5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2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AE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C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E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D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F5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E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05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动力柜</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7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动力配电箱（AP-Z)</w:t>
            </w:r>
          </w:p>
          <w:p w14:paraId="18E16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规格:500*700*140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8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4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C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D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98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A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514D">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E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动力配电箱(AC)</w:t>
            </w:r>
          </w:p>
          <w:p w14:paraId="7E334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规格:800*900*250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D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B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36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C6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B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D1818">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A3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动力配电箱（AL-Z)</w:t>
            </w:r>
          </w:p>
          <w:p w14:paraId="60CD5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E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0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8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B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8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C2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A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F006">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动力配电箱（AB-Z）</w:t>
            </w:r>
          </w:p>
          <w:p w14:paraId="7DED6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9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2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B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17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A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37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1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91DE">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B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动力配电箱（AP-Z）</w:t>
            </w:r>
          </w:p>
          <w:p w14:paraId="6B232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D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7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5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5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9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65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C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9E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照明柜</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C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照明配电箱（AL-JX）</w:t>
            </w:r>
          </w:p>
          <w:p w14:paraId="6DA8C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400*500*140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8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9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8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9E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F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88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2F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4240">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7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照明配电箱（AL） </w:t>
            </w:r>
          </w:p>
          <w:p w14:paraId="023E9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400*500*140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6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5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F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C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0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9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B6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9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81010">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2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照明配电箱（AL-FJJ）</w:t>
            </w:r>
          </w:p>
          <w:p w14:paraId="6CD21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D4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2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6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EF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3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873F">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4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照明配电箱（AL-SCL）</w:t>
            </w:r>
          </w:p>
          <w:p w14:paraId="797AC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B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1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4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9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7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40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2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2B40">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照明配电箱（AL-CEMS）</w:t>
            </w:r>
          </w:p>
          <w:p w14:paraId="46FC8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1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1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E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6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B0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7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0A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F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51D4">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C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照明配电箱（AL-GLJ）</w:t>
            </w:r>
          </w:p>
          <w:p w14:paraId="0DC6B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6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C5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A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6B4B0">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9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照明配电箱（AL-BG）</w:t>
            </w:r>
          </w:p>
          <w:p w14:paraId="73CC0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4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5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18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F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8932">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6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照明配电箱（AL-KZS）</w:t>
            </w:r>
          </w:p>
          <w:p w14:paraId="408B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D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2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F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2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0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E0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8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4B95">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7F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照明配电箱（AL-PDS）</w:t>
            </w:r>
          </w:p>
          <w:p w14:paraId="2CA83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D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2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4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E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A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C2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A4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0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水泵控制柜</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8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潜污泵控制箱</w:t>
            </w:r>
          </w:p>
          <w:p w14:paraId="0135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规格:500*600*200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A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F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6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3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7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C6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A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8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风机柜</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4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风机配电箱（AC-FJJ)</w:t>
            </w:r>
          </w:p>
          <w:p w14:paraId="2927C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规格:500X600X200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1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4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6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7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5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D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2D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0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3E62">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风机配电箱（AC-SCL)</w:t>
            </w:r>
          </w:p>
          <w:p w14:paraId="3B007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规格:500X600X200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E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A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6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F8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3E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E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6203">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F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风机配电柜AC-GLJ </w:t>
            </w:r>
          </w:p>
          <w:p w14:paraId="6CCD6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防爆600*600*600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2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9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C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B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DC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5F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C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6045">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97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风机配电箱(AP-FJ)</w:t>
            </w:r>
          </w:p>
          <w:p w14:paraId="46E2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规格:800*900*250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9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5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3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5B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B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38E5">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凤机配电箱（AC-PDS）</w:t>
            </w:r>
          </w:p>
          <w:p w14:paraId="0B319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B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6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7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BD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7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AA52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3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风机配电箱(AC)</w:t>
            </w:r>
          </w:p>
          <w:p w14:paraId="01310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规格:800*900*250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3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4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9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BA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3A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0B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3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6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基业箱</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C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JX1变配电室检修箱  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C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3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C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4D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6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D825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0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JX2水处理间检修箱  470X250X140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D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E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92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D8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A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A9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B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2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应急照明柜</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6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应急照明配电箱（ALE）</w:t>
            </w:r>
          </w:p>
          <w:p w14:paraId="06AA2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规格:400*500*140，一体式 DC24V输出回路控制、通讯功能、为灯具供电AC220V输入DC24V安全电压输出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1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1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0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4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5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41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C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C78B">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应急照明配电箱（BR-D）</w:t>
            </w:r>
          </w:p>
          <w:p w14:paraId="553E7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规格:400*500*140，一体式 DC24V输出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4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D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2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98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4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8B7D">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5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应急照明配电箱（ALE）</w:t>
            </w:r>
          </w:p>
          <w:p w14:paraId="0D053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规格:500x600x200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7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F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5B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A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44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7E17">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控制器操作箱</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3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5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6A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3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2D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7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5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应急照明灯</w:t>
            </w: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9E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集中电源集中控制型消防应急标志灯具单面左向（右向）</w:t>
            </w:r>
          </w:p>
          <w:p w14:paraId="629BD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型号:1.灯内不带电池组2.每个设备具有唯一地址码3.可编程序控制4.故障报警5.无极性两总线</w:t>
            </w:r>
          </w:p>
          <w:p w14:paraId="1A729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1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6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7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1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F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9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D6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0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B3DD">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0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集中电源集中控制型消防应急照明灯具壁挂</w:t>
            </w:r>
          </w:p>
          <w:p w14:paraId="0ECC8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型号:1.灯内不带电池组2.每个设备具有唯一地址码3.可编程序控制4.故障报警5.无极性两总线</w:t>
            </w:r>
          </w:p>
          <w:p w14:paraId="3FA41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5W</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6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5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9F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FC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0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5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98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E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404C">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集中电源集中控制型消防应急照明灯具安全出口</w:t>
            </w:r>
          </w:p>
          <w:p w14:paraId="2F0B8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型号:1.灯内不带电池组2.每个设备具有唯一地址码3.可编程序控制4.故障报警5.无极性两总线</w:t>
            </w:r>
          </w:p>
          <w:p w14:paraId="098FF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F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B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E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6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43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26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3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9F1D">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3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集中电源集中控制型消防应急照明灯具壁挂防爆</w:t>
            </w:r>
          </w:p>
          <w:p w14:paraId="1A894E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型号:灯内不带电池组，每个设备具有唯一地址码，可编程序控制，故障报警，无极性两总线</w:t>
            </w:r>
          </w:p>
          <w:p w14:paraId="4A37F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4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4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3E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7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96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B4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E8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B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086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70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集中电源集中控制型消防应急照明灯具楼层指示灯</w:t>
            </w:r>
          </w:p>
          <w:p w14:paraId="4DCB8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型号:灯内不带电池组，每个设备具有唯一地址码，可编程序控制，故障报警，无极性两总线</w:t>
            </w:r>
          </w:p>
          <w:p w14:paraId="046BB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6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2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4C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5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10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3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4B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1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97F9">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C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防爆安全出口型号:1.灯内不带电池组2.每个设备具有唯一地址码3.可编程序控制4.故障报警5.无极性两总线</w:t>
            </w:r>
          </w:p>
          <w:p w14:paraId="4C2D7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3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9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33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D5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8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D4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CF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8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ABC1">
            <w:pPr>
              <w:jc w:val="center"/>
              <w:rPr>
                <w:rFonts w:hint="eastAsia" w:ascii="宋体" w:hAnsi="宋体" w:eastAsia="宋体" w:cs="宋体"/>
                <w:i w:val="0"/>
                <w:iCs w:val="0"/>
                <w:color w:val="000000"/>
                <w:sz w:val="20"/>
                <w:szCs w:val="20"/>
                <w:u w:val="none"/>
              </w:rPr>
            </w:pPr>
          </w:p>
        </w:tc>
        <w:tc>
          <w:tcPr>
            <w:tcW w:w="5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C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防爆单面左右向型号:1.灯内不带电池组2.每个设备具有唯一地址码3.可编程序控制4.故障报警5.无极性两总线</w:t>
            </w:r>
          </w:p>
          <w:p w14:paraId="432D1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规格:DC24V 3W</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6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33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3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8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4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2C22002">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14:paraId="2FED37C9">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14:paraId="7E5381D7">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ascii="仿宋" w:hAnsi="仿宋" w:eastAsia="仿宋" w:cs="仿宋"/>
          <w:sz w:val="32"/>
          <w:szCs w:val="32"/>
          <w:lang w:eastAsia="zh-CN"/>
        </w:rPr>
      </w:pPr>
      <w:r>
        <w:rPr>
          <w:rFonts w:hint="eastAsia" w:ascii="仿宋" w:hAnsi="仿宋" w:eastAsia="仿宋"/>
          <w:sz w:val="24"/>
          <w:lang w:eastAsia="zh-CN"/>
        </w:rPr>
        <w:t xml:space="preserve">             </w:t>
      </w:r>
      <w:r>
        <w:rPr>
          <w:rFonts w:hint="eastAsia" w:ascii="仿宋" w:hAnsi="仿宋" w:eastAsia="仿宋" w:cs="仿宋"/>
          <w:sz w:val="32"/>
          <w:szCs w:val="32"/>
          <w:lang w:eastAsia="zh-CN"/>
        </w:rPr>
        <w:t>洽谈单位（盖章）：</w:t>
      </w:r>
    </w:p>
    <w:p w14:paraId="1879AEF8">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14:paraId="1EC01CA1">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仿宋" w:hAnsi="仿宋" w:eastAsia="仿宋" w:cs="仿宋"/>
          <w:sz w:val="32"/>
          <w:szCs w:val="32"/>
          <w:lang w:eastAsia="zh-CN"/>
        </w:rPr>
        <w:sectPr>
          <w:pgSz w:w="16838" w:h="11906" w:orient="landscape"/>
          <w:pgMar w:top="1587" w:right="2098" w:bottom="1474" w:left="1928" w:header="851" w:footer="992" w:gutter="0"/>
          <w:pgNumType w:fmt="numberInDash" w:start="1"/>
          <w:cols w:space="720" w:num="1"/>
          <w:docGrid w:type="lines" w:linePitch="312" w:charSpace="0"/>
        </w:sectPr>
      </w:pPr>
      <w:r>
        <w:rPr>
          <w:rFonts w:hint="eastAsia" w:ascii="仿宋" w:hAnsi="仿宋" w:eastAsia="仿宋" w:cs="仿宋"/>
          <w:sz w:val="32"/>
          <w:szCs w:val="32"/>
          <w:lang w:eastAsia="zh-CN"/>
        </w:rPr>
        <w:t>日期：</w:t>
      </w:r>
    </w:p>
    <w:p w14:paraId="4210479E">
      <w:pPr>
        <w:pStyle w:val="2"/>
        <w:rPr>
          <w:rFonts w:hint="eastAsia"/>
          <w:lang w:eastAsia="zh-CN"/>
        </w:rPr>
      </w:pPr>
    </w:p>
    <w:p w14:paraId="3A4D7022">
      <w:pPr>
        <w:spacing w:line="360" w:lineRule="auto"/>
        <w:jc w:val="center"/>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配电柜、箱配置详单</w:t>
      </w:r>
    </w:p>
    <w:tbl>
      <w:tblPr>
        <w:tblStyle w:val="19"/>
        <w:tblW w:w="10199" w:type="dxa"/>
        <w:jc w:val="center"/>
        <w:tblLayout w:type="fixed"/>
        <w:tblCellMar>
          <w:top w:w="0" w:type="dxa"/>
          <w:left w:w="108" w:type="dxa"/>
          <w:bottom w:w="0" w:type="dxa"/>
          <w:right w:w="108" w:type="dxa"/>
        </w:tblCellMar>
      </w:tblPr>
      <w:tblGrid>
        <w:gridCol w:w="789"/>
        <w:gridCol w:w="1468"/>
        <w:gridCol w:w="1312"/>
        <w:gridCol w:w="820"/>
        <w:gridCol w:w="800"/>
        <w:gridCol w:w="1080"/>
        <w:gridCol w:w="1020"/>
        <w:gridCol w:w="1580"/>
        <w:gridCol w:w="1330"/>
      </w:tblGrid>
      <w:tr w14:paraId="758687E0">
        <w:tblPrEx>
          <w:tblCellMar>
            <w:top w:w="0" w:type="dxa"/>
            <w:left w:w="108" w:type="dxa"/>
            <w:bottom w:w="0" w:type="dxa"/>
            <w:right w:w="108" w:type="dxa"/>
          </w:tblCellMar>
        </w:tblPrEx>
        <w:trPr>
          <w:trHeight w:val="644" w:hRule="atLeast"/>
          <w:jc w:val="center"/>
        </w:trPr>
        <w:tc>
          <w:tcPr>
            <w:tcW w:w="789" w:type="dxa"/>
            <w:tcBorders>
              <w:top w:val="single" w:color="000000" w:sz="4" w:space="0"/>
              <w:left w:val="single" w:color="000000" w:sz="4" w:space="0"/>
              <w:bottom w:val="single" w:color="000000" w:sz="4" w:space="0"/>
              <w:right w:val="nil"/>
            </w:tcBorders>
            <w:shd w:val="clear" w:color="auto" w:fill="CCFFFF"/>
            <w:noWrap/>
            <w:vAlign w:val="center"/>
          </w:tcPr>
          <w:p w14:paraId="27E6B18F">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468" w:type="dxa"/>
            <w:tcBorders>
              <w:top w:val="single" w:color="000000" w:sz="4" w:space="0"/>
              <w:left w:val="nil"/>
              <w:bottom w:val="single" w:color="000000" w:sz="4" w:space="0"/>
              <w:right w:val="nil"/>
            </w:tcBorders>
            <w:shd w:val="clear" w:color="auto" w:fill="CCFFFF"/>
            <w:noWrap/>
            <w:vAlign w:val="center"/>
          </w:tcPr>
          <w:p w14:paraId="4EA1B503">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柜号：AP</w:t>
            </w:r>
          </w:p>
        </w:tc>
        <w:tc>
          <w:tcPr>
            <w:tcW w:w="1312" w:type="dxa"/>
            <w:tcBorders>
              <w:top w:val="single" w:color="000000" w:sz="4" w:space="0"/>
              <w:left w:val="nil"/>
              <w:bottom w:val="single" w:color="000000" w:sz="4" w:space="0"/>
              <w:right w:val="nil"/>
            </w:tcBorders>
            <w:shd w:val="clear" w:color="auto" w:fill="CCFFFF"/>
            <w:noWrap/>
            <w:vAlign w:val="center"/>
          </w:tcPr>
          <w:p w14:paraId="0F581BC6">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型号：</w:t>
            </w:r>
          </w:p>
        </w:tc>
        <w:tc>
          <w:tcPr>
            <w:tcW w:w="2700" w:type="dxa"/>
            <w:gridSpan w:val="3"/>
            <w:tcBorders>
              <w:top w:val="single" w:color="000000" w:sz="4" w:space="0"/>
              <w:left w:val="nil"/>
              <w:bottom w:val="single" w:color="000000" w:sz="4" w:space="0"/>
              <w:right w:val="nil"/>
            </w:tcBorders>
            <w:shd w:val="clear" w:color="auto" w:fill="CCFFFF"/>
            <w:noWrap/>
            <w:vAlign w:val="center"/>
          </w:tcPr>
          <w:p w14:paraId="543AC30A">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020" w:type="dxa"/>
            <w:tcBorders>
              <w:top w:val="single" w:color="000000" w:sz="4" w:space="0"/>
              <w:left w:val="nil"/>
              <w:bottom w:val="single" w:color="000000" w:sz="4" w:space="0"/>
              <w:right w:val="nil"/>
            </w:tcBorders>
            <w:shd w:val="clear" w:color="auto" w:fill="CCFFFF"/>
            <w:noWrap/>
            <w:vAlign w:val="center"/>
          </w:tcPr>
          <w:p w14:paraId="32E615A7">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580" w:type="dxa"/>
            <w:tcBorders>
              <w:top w:val="single" w:color="000000" w:sz="4" w:space="0"/>
              <w:left w:val="nil"/>
              <w:bottom w:val="single" w:color="000000" w:sz="4" w:space="0"/>
              <w:right w:val="nil"/>
            </w:tcBorders>
            <w:shd w:val="clear" w:color="auto" w:fill="CCFFFF"/>
            <w:noWrap/>
            <w:vAlign w:val="center"/>
          </w:tcPr>
          <w:p w14:paraId="4678C82F">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动力柜</w:t>
            </w:r>
          </w:p>
        </w:tc>
        <w:tc>
          <w:tcPr>
            <w:tcW w:w="1330" w:type="dxa"/>
            <w:tcBorders>
              <w:top w:val="single" w:color="000000" w:sz="4" w:space="0"/>
              <w:left w:val="nil"/>
              <w:bottom w:val="single" w:color="000000" w:sz="4" w:space="0"/>
              <w:right w:val="single" w:color="000000" w:sz="4" w:space="0"/>
            </w:tcBorders>
            <w:shd w:val="clear" w:color="auto" w:fill="CCFFFF"/>
            <w:noWrap/>
            <w:vAlign w:val="center"/>
          </w:tcPr>
          <w:p w14:paraId="0183FF00">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6C353D6">
        <w:tblPrEx>
          <w:tblCellMar>
            <w:top w:w="0" w:type="dxa"/>
            <w:left w:w="108" w:type="dxa"/>
            <w:bottom w:w="0" w:type="dxa"/>
            <w:right w:w="108" w:type="dxa"/>
          </w:tblCellMar>
        </w:tblPrEx>
        <w:trPr>
          <w:trHeight w:val="737" w:hRule="atLeast"/>
          <w:jc w:val="center"/>
        </w:trPr>
        <w:tc>
          <w:tcPr>
            <w:tcW w:w="789" w:type="dxa"/>
            <w:tcBorders>
              <w:top w:val="single" w:color="000000" w:sz="4" w:space="0"/>
              <w:left w:val="single" w:color="000000" w:sz="4" w:space="0"/>
              <w:bottom w:val="nil"/>
              <w:right w:val="single" w:color="000000" w:sz="4" w:space="0"/>
            </w:tcBorders>
            <w:shd w:val="clear" w:color="auto" w:fill="D9D9D9"/>
            <w:noWrap/>
            <w:vAlign w:val="center"/>
          </w:tcPr>
          <w:p w14:paraId="1A906249">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68" w:type="dxa"/>
            <w:tcBorders>
              <w:top w:val="single" w:color="000000" w:sz="4" w:space="0"/>
              <w:left w:val="nil"/>
              <w:bottom w:val="nil"/>
              <w:right w:val="single" w:color="000000" w:sz="4" w:space="0"/>
            </w:tcBorders>
            <w:shd w:val="clear" w:color="auto" w:fill="D9D9D9"/>
            <w:noWrap/>
            <w:vAlign w:val="center"/>
          </w:tcPr>
          <w:p w14:paraId="38B04726">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元件名称</w:t>
            </w:r>
          </w:p>
        </w:tc>
        <w:tc>
          <w:tcPr>
            <w:tcW w:w="1312" w:type="dxa"/>
            <w:tcBorders>
              <w:top w:val="single" w:color="000000" w:sz="4" w:space="0"/>
              <w:left w:val="nil"/>
              <w:bottom w:val="nil"/>
              <w:right w:val="single" w:color="000000" w:sz="4" w:space="0"/>
            </w:tcBorders>
            <w:shd w:val="clear" w:color="auto" w:fill="D9D9D9"/>
            <w:noWrap/>
            <w:vAlign w:val="center"/>
          </w:tcPr>
          <w:p w14:paraId="7CACE447">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型号规格</w:t>
            </w:r>
          </w:p>
        </w:tc>
        <w:tc>
          <w:tcPr>
            <w:tcW w:w="820" w:type="dxa"/>
            <w:tcBorders>
              <w:top w:val="single" w:color="000000" w:sz="4" w:space="0"/>
              <w:left w:val="nil"/>
              <w:bottom w:val="nil"/>
              <w:right w:val="single" w:color="000000" w:sz="4" w:space="0"/>
            </w:tcBorders>
            <w:shd w:val="clear" w:color="auto" w:fill="D9D9D9"/>
            <w:noWrap/>
            <w:vAlign w:val="center"/>
          </w:tcPr>
          <w:p w14:paraId="26F02AF6">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00" w:type="dxa"/>
            <w:tcBorders>
              <w:top w:val="single" w:color="000000" w:sz="4" w:space="0"/>
              <w:left w:val="nil"/>
              <w:bottom w:val="nil"/>
              <w:right w:val="single" w:color="000000" w:sz="4" w:space="0"/>
            </w:tcBorders>
            <w:shd w:val="clear" w:color="auto" w:fill="D9D9D9"/>
            <w:noWrap/>
            <w:vAlign w:val="center"/>
          </w:tcPr>
          <w:p w14:paraId="0E548B36">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080" w:type="dxa"/>
            <w:tcBorders>
              <w:top w:val="single" w:color="000000" w:sz="4" w:space="0"/>
              <w:left w:val="nil"/>
              <w:bottom w:val="nil"/>
              <w:right w:val="single" w:color="000000" w:sz="4" w:space="0"/>
            </w:tcBorders>
            <w:shd w:val="clear" w:color="auto" w:fill="D9D9D9"/>
            <w:noWrap/>
            <w:vAlign w:val="center"/>
          </w:tcPr>
          <w:p w14:paraId="544F0770">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tc>
        <w:tc>
          <w:tcPr>
            <w:tcW w:w="1020" w:type="dxa"/>
            <w:tcBorders>
              <w:top w:val="single" w:color="000000" w:sz="4" w:space="0"/>
              <w:left w:val="nil"/>
              <w:bottom w:val="nil"/>
              <w:right w:val="single" w:color="000000" w:sz="4" w:space="0"/>
            </w:tcBorders>
            <w:shd w:val="clear" w:color="auto" w:fill="D9D9D9"/>
            <w:noWrap/>
            <w:vAlign w:val="center"/>
          </w:tcPr>
          <w:p w14:paraId="24A7A9E9">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总价</w:t>
            </w:r>
          </w:p>
        </w:tc>
        <w:tc>
          <w:tcPr>
            <w:tcW w:w="1580" w:type="dxa"/>
            <w:tcBorders>
              <w:top w:val="single" w:color="000000" w:sz="4" w:space="0"/>
              <w:left w:val="nil"/>
              <w:bottom w:val="nil"/>
              <w:right w:val="single" w:color="000000" w:sz="4" w:space="0"/>
            </w:tcBorders>
            <w:shd w:val="clear" w:color="auto" w:fill="D9D9D9"/>
            <w:noWrap/>
            <w:vAlign w:val="center"/>
          </w:tcPr>
          <w:p w14:paraId="0672ABEE">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生产厂家</w:t>
            </w:r>
          </w:p>
        </w:tc>
        <w:tc>
          <w:tcPr>
            <w:tcW w:w="1330" w:type="dxa"/>
            <w:tcBorders>
              <w:top w:val="single" w:color="000000" w:sz="4" w:space="0"/>
              <w:left w:val="nil"/>
              <w:bottom w:val="nil"/>
              <w:right w:val="single" w:color="000000" w:sz="4" w:space="0"/>
            </w:tcBorders>
            <w:shd w:val="clear" w:color="auto" w:fill="D9D9D9"/>
            <w:noWrap/>
            <w:vAlign w:val="center"/>
          </w:tcPr>
          <w:p w14:paraId="3226A650">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D17E0E4">
        <w:tblPrEx>
          <w:tblCellMar>
            <w:top w:w="0" w:type="dxa"/>
            <w:left w:w="108" w:type="dxa"/>
            <w:bottom w:w="0" w:type="dxa"/>
            <w:right w:w="108" w:type="dxa"/>
          </w:tblCellMar>
        </w:tblPrEx>
        <w:trPr>
          <w:trHeight w:val="737"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1269AEB">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68" w:type="dxa"/>
            <w:tcBorders>
              <w:top w:val="single" w:color="000000" w:sz="4" w:space="0"/>
              <w:left w:val="single" w:color="000000" w:sz="4" w:space="0"/>
              <w:bottom w:val="single" w:color="000000" w:sz="4" w:space="0"/>
              <w:right w:val="single" w:color="000000" w:sz="4" w:space="0"/>
            </w:tcBorders>
            <w:noWrap/>
            <w:vAlign w:val="center"/>
          </w:tcPr>
          <w:p w14:paraId="3D507B6D">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隔离开关</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7C6ED43A">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465F185">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03F9885">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C3205B">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DC44382">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3F6207F2">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5A1CB7B">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14:paraId="1D0F9F08">
        <w:tblPrEx>
          <w:tblCellMar>
            <w:top w:w="0" w:type="dxa"/>
            <w:left w:w="108" w:type="dxa"/>
            <w:bottom w:w="0" w:type="dxa"/>
            <w:right w:w="108" w:type="dxa"/>
          </w:tblCellMar>
        </w:tblPrEx>
        <w:trPr>
          <w:trHeight w:val="737"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DC9A47D">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1468" w:type="dxa"/>
            <w:tcBorders>
              <w:top w:val="single" w:color="000000" w:sz="4" w:space="0"/>
              <w:left w:val="single" w:color="000000" w:sz="4" w:space="0"/>
              <w:bottom w:val="single" w:color="000000" w:sz="4" w:space="0"/>
              <w:right w:val="single" w:color="000000" w:sz="4" w:space="0"/>
            </w:tcBorders>
            <w:noWrap/>
            <w:vAlign w:val="center"/>
          </w:tcPr>
          <w:p w14:paraId="6EA1FD0A">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类同</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E57605C">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294526A">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B21705D">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E2C72C">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533FB6A">
            <w:pPr>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7CAFFB5A">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A073B9F">
            <w:pPr>
              <w:pStyle w:val="2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default" w:ascii="宋体" w:hAnsi="宋体" w:eastAsia="宋体" w:cs="宋体"/>
                <w:sz w:val="24"/>
                <w:szCs w:val="24"/>
                <w:vertAlign w:val="baseline"/>
                <w:lang w:val="en-US" w:eastAsia="zh-CN"/>
              </w:rPr>
            </w:pPr>
          </w:p>
        </w:tc>
      </w:tr>
    </w:tbl>
    <w:p w14:paraId="039584E9">
      <w:pPr>
        <w:jc w:val="center"/>
        <w:rPr>
          <w:rFonts w:hint="eastAsia" w:ascii="宋体" w:hAnsi="宋体" w:cs="宋体"/>
          <w:b/>
          <w:bCs/>
          <w:sz w:val="36"/>
          <w:lang w:val="en-US" w:eastAsia="zh-CN"/>
        </w:rPr>
        <w:sectPr>
          <w:pgSz w:w="11906" w:h="16838"/>
          <w:pgMar w:top="2098" w:right="1474" w:bottom="1928" w:left="1587" w:header="851" w:footer="992" w:gutter="0"/>
          <w:pgNumType w:fmt="numberInDash" w:start="1"/>
          <w:cols w:space="720" w:num="1"/>
          <w:docGrid w:type="lines" w:linePitch="312" w:charSpace="0"/>
        </w:sectPr>
      </w:pPr>
    </w:p>
    <w:p w14:paraId="71182127">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四</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14:paraId="47C027E9">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color w:val="auto"/>
          <w:sz w:val="28"/>
          <w:szCs w:val="28"/>
          <w:u w:val="single"/>
          <w:lang w:val="en-US" w:eastAsia="zh-CN"/>
        </w:rPr>
        <w:t>西安国际港务区能源站工程锅炉房扩建项目建筑及室外工程建设工程配电柜、电缆、桥架、应急灯采购</w:t>
      </w:r>
      <w:r>
        <w:rPr>
          <w:rFonts w:hint="eastAsia" w:ascii="宋体" w:hAnsi="宋体" w:eastAsia="宋体" w:cs="宋体"/>
          <w:sz w:val="28"/>
          <w:szCs w:val="28"/>
          <w:lang w:eastAsia="zh-CN"/>
        </w:rPr>
        <w:t>洽谈报价、签订合同和处理有关事宜，其法律后果由我方承担。</w:t>
      </w:r>
    </w:p>
    <w:p w14:paraId="3A951AB7">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67C0FDB2">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6BCA2692">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14:paraId="46B524CC">
      <w:pPr>
        <w:widowControl w:val="0"/>
        <w:spacing w:after="0" w:line="560" w:lineRule="exact"/>
        <w:jc w:val="both"/>
        <w:rPr>
          <w:rFonts w:hint="eastAsia" w:ascii="宋体" w:hAnsi="宋体" w:eastAsia="宋体" w:cs="宋体"/>
          <w:sz w:val="28"/>
          <w:szCs w:val="28"/>
          <w:lang w:eastAsia="zh-CN"/>
        </w:rPr>
      </w:pPr>
    </w:p>
    <w:p w14:paraId="66307AF3">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6DF581C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21958A10">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17941A07">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2FC94FA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651E03BF">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6E411C09">
      <w:pPr>
        <w:spacing w:line="580" w:lineRule="exact"/>
        <w:ind w:firstLine="3920" w:firstLineChars="1400"/>
        <w:jc w:val="center"/>
        <w:rPr>
          <w:rFonts w:hint="eastAsia" w:ascii="宋体" w:hAnsi="宋体" w:eastAsia="宋体" w:cs="宋体"/>
          <w:sz w:val="28"/>
          <w:szCs w:val="28"/>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日</w:t>
      </w:r>
    </w:p>
    <w:p w14:paraId="72E331FD">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eastAsia="zh-CN"/>
        </w:rPr>
        <w:t>五</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14:paraId="3CCB49C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38446AE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default" w:cs="宋体"/>
          <w:sz w:val="28"/>
          <w:szCs w:val="28"/>
          <w:lang w:val="en-US" w:eastAsia="zh-CN"/>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信用等级认证，生产许可证，3C 认证，质量管理体系认证，产品检验报告和鉴定证书。电缆厂家销售许可</w:t>
      </w:r>
    </w:p>
    <w:p w14:paraId="546F08A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cs="宋体"/>
          <w:sz w:val="28"/>
          <w:szCs w:val="28"/>
          <w:lang w:val="en-US" w:eastAsia="zh-CN"/>
        </w:rPr>
      </w:pPr>
    </w:p>
    <w:p w14:paraId="7664FC5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654E8823">
      <w:pPr>
        <w:pStyle w:val="4"/>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六</w:t>
      </w:r>
      <w:r>
        <w:rPr>
          <w:rFonts w:hint="eastAsia" w:ascii="宋体" w:hAnsi="宋体" w:eastAsia="宋体" w:cs="宋体"/>
          <w:color w:val="000000"/>
          <w:spacing w:val="1"/>
          <w:sz w:val="32"/>
          <w:szCs w:val="32"/>
          <w:lang w:eastAsia="zh-CN"/>
        </w:rPr>
        <w:t>、业绩证明材料</w:t>
      </w:r>
    </w:p>
    <w:p w14:paraId="5DC68D53">
      <w:pPr>
        <w:adjustRightInd w:val="0"/>
        <w:snapToGrid w:val="0"/>
        <w:spacing w:after="0" w:line="360" w:lineRule="auto"/>
        <w:jc w:val="center"/>
        <w:rPr>
          <w:rFonts w:hint="eastAsia" w:ascii="宋体" w:hAnsi="宋体" w:eastAsia="宋体" w:cs="宋体"/>
          <w:b/>
          <w:color w:val="000000"/>
          <w:spacing w:val="1"/>
          <w:sz w:val="44"/>
          <w:szCs w:val="44"/>
          <w:lang w:eastAsia="zh-CN"/>
        </w:rPr>
      </w:pPr>
    </w:p>
    <w:p w14:paraId="47FAE1F2">
      <w:pPr>
        <w:pStyle w:val="10"/>
        <w:rPr>
          <w:rFonts w:hint="eastAsia" w:ascii="宋体" w:hAnsi="宋体" w:eastAsia="宋体" w:cs="宋体"/>
          <w:sz w:val="32"/>
          <w:szCs w:val="32"/>
          <w:lang w:eastAsia="zh-CN"/>
        </w:rPr>
      </w:pPr>
    </w:p>
    <w:p w14:paraId="5745D9A7">
      <w:pPr>
        <w:pStyle w:val="26"/>
        <w:ind w:firstLine="0" w:firstLineChars="0"/>
        <w:rPr>
          <w:rFonts w:hint="eastAsia" w:ascii="宋体" w:hAnsi="宋体" w:eastAsia="宋体" w:cs="宋体"/>
          <w:sz w:val="32"/>
          <w:szCs w:val="32"/>
        </w:rPr>
      </w:pPr>
    </w:p>
    <w:p w14:paraId="42DF59F1">
      <w:pPr>
        <w:pStyle w:val="26"/>
        <w:ind w:firstLine="0" w:firstLineChars="0"/>
        <w:rPr>
          <w:rFonts w:hint="eastAsia" w:ascii="宋体" w:hAnsi="宋体" w:eastAsia="宋体" w:cs="宋体"/>
          <w:sz w:val="32"/>
          <w:szCs w:val="32"/>
        </w:rPr>
      </w:pPr>
    </w:p>
    <w:p w14:paraId="33137FF5">
      <w:pPr>
        <w:pStyle w:val="26"/>
        <w:ind w:firstLine="0" w:firstLineChars="0"/>
        <w:rPr>
          <w:rFonts w:hint="eastAsia" w:ascii="宋体" w:hAnsi="宋体" w:eastAsia="宋体" w:cs="宋体"/>
          <w:sz w:val="32"/>
          <w:szCs w:val="32"/>
        </w:rPr>
      </w:pPr>
    </w:p>
    <w:p w14:paraId="4D753804">
      <w:pPr>
        <w:pStyle w:val="26"/>
        <w:ind w:firstLine="0" w:firstLineChars="0"/>
        <w:rPr>
          <w:rFonts w:hint="eastAsia" w:ascii="宋体" w:hAnsi="宋体" w:eastAsia="宋体" w:cs="宋体"/>
          <w:sz w:val="32"/>
          <w:szCs w:val="32"/>
        </w:rPr>
      </w:pPr>
    </w:p>
    <w:p w14:paraId="6B5FD598">
      <w:pPr>
        <w:pStyle w:val="26"/>
        <w:ind w:firstLine="0" w:firstLineChars="0"/>
        <w:rPr>
          <w:rFonts w:hint="eastAsia" w:ascii="宋体" w:hAnsi="宋体" w:eastAsia="宋体" w:cs="宋体"/>
          <w:sz w:val="32"/>
          <w:szCs w:val="32"/>
        </w:rPr>
      </w:pPr>
    </w:p>
    <w:p w14:paraId="5B3C534D">
      <w:pPr>
        <w:pStyle w:val="26"/>
        <w:ind w:firstLine="0" w:firstLineChars="0"/>
        <w:rPr>
          <w:rFonts w:hint="eastAsia" w:ascii="宋体" w:hAnsi="宋体" w:eastAsia="宋体" w:cs="宋体"/>
          <w:sz w:val="32"/>
          <w:szCs w:val="32"/>
        </w:rPr>
      </w:pPr>
    </w:p>
    <w:p w14:paraId="35D4F17D">
      <w:pPr>
        <w:pStyle w:val="26"/>
        <w:ind w:firstLine="0" w:firstLineChars="0"/>
        <w:rPr>
          <w:rFonts w:hint="eastAsia" w:ascii="宋体" w:hAnsi="宋体" w:eastAsia="宋体" w:cs="宋体"/>
          <w:sz w:val="32"/>
          <w:szCs w:val="32"/>
        </w:rPr>
      </w:pPr>
    </w:p>
    <w:p w14:paraId="1C7B7212">
      <w:pPr>
        <w:pStyle w:val="26"/>
        <w:ind w:firstLine="0" w:firstLineChars="0"/>
        <w:rPr>
          <w:rFonts w:hint="eastAsia" w:ascii="宋体" w:hAnsi="宋体" w:eastAsia="宋体" w:cs="宋体"/>
          <w:sz w:val="32"/>
          <w:szCs w:val="32"/>
        </w:rPr>
      </w:pPr>
    </w:p>
    <w:p w14:paraId="1B6B0DDA">
      <w:pPr>
        <w:pStyle w:val="14"/>
        <w:rPr>
          <w:rFonts w:hint="eastAsia" w:ascii="宋体" w:hAnsi="宋体" w:eastAsia="宋体" w:cs="宋体"/>
          <w:lang w:eastAsia="zh-CN"/>
        </w:rPr>
      </w:pPr>
    </w:p>
    <w:p w14:paraId="0E57D53F">
      <w:pPr>
        <w:rPr>
          <w:rFonts w:hint="eastAsia" w:ascii="宋体" w:hAnsi="宋体" w:eastAsia="宋体" w:cs="宋体"/>
          <w:lang w:eastAsia="zh-CN"/>
        </w:rPr>
      </w:pPr>
    </w:p>
    <w:p w14:paraId="0E05E7C6">
      <w:pPr>
        <w:pStyle w:val="14"/>
        <w:rPr>
          <w:rFonts w:hint="eastAsia" w:ascii="宋体" w:hAnsi="宋体" w:eastAsia="宋体" w:cs="宋体"/>
          <w:lang w:eastAsia="zh-CN"/>
        </w:rPr>
      </w:pPr>
    </w:p>
    <w:p w14:paraId="19B6616E">
      <w:pPr>
        <w:rPr>
          <w:rFonts w:hint="eastAsia" w:ascii="宋体" w:hAnsi="宋体" w:eastAsia="宋体" w:cs="宋体"/>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62BE318">
      <w:pPr>
        <w:pStyle w:val="4"/>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七</w:t>
      </w: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14:paraId="089FF51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47BB357D">
      <w:pPr>
        <w:pStyle w:val="26"/>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68C63B7E">
      <w:pPr>
        <w:pStyle w:val="26"/>
        <w:ind w:firstLine="0" w:firstLineChars="0"/>
        <w:jc w:val="center"/>
        <w:rPr>
          <w:rFonts w:hint="eastAsia" w:ascii="宋体" w:hAnsi="宋体" w:eastAsia="宋体" w:cs="宋体"/>
          <w:sz w:val="32"/>
          <w:szCs w:val="32"/>
        </w:rPr>
      </w:pPr>
    </w:p>
    <w:p w14:paraId="3D833527">
      <w:pPr>
        <w:pStyle w:val="26"/>
        <w:ind w:firstLine="0" w:firstLineChars="0"/>
        <w:jc w:val="center"/>
        <w:rPr>
          <w:rFonts w:hint="eastAsia" w:ascii="宋体" w:hAnsi="宋体" w:eastAsia="宋体" w:cs="宋体"/>
          <w:sz w:val="32"/>
          <w:szCs w:val="32"/>
        </w:rPr>
      </w:pPr>
    </w:p>
    <w:p w14:paraId="7A6DA463">
      <w:pPr>
        <w:pStyle w:val="26"/>
        <w:ind w:firstLine="0" w:firstLineChars="0"/>
        <w:jc w:val="center"/>
        <w:rPr>
          <w:rFonts w:hint="eastAsia" w:ascii="宋体" w:hAnsi="宋体" w:eastAsia="宋体" w:cs="宋体"/>
          <w:sz w:val="32"/>
          <w:szCs w:val="32"/>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992712F">
      <w:pPr>
        <w:pStyle w:val="4"/>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eastAsia="zh-CN"/>
        </w:rPr>
        <w:t>八</w:t>
      </w:r>
      <w:r>
        <w:rPr>
          <w:rFonts w:hint="eastAsia" w:ascii="宋体" w:hAnsi="宋体" w:eastAsia="宋体" w:cs="宋体"/>
          <w:color w:val="000000"/>
          <w:spacing w:val="1"/>
          <w:sz w:val="32"/>
          <w:szCs w:val="32"/>
          <w:lang w:eastAsia="zh-CN"/>
        </w:rPr>
        <w:t>、质量保证和售后服务</w:t>
      </w:r>
    </w:p>
    <w:p w14:paraId="1EF4F254">
      <w:pPr>
        <w:pStyle w:val="26"/>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针对本项目供货能提供的质量保证范围、质保期限、售后服务等内容。</w:t>
      </w:r>
    </w:p>
    <w:p w14:paraId="2E67C1A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562DD42B">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2533F56A">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7DCA5F0E">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4A76116">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112EEEB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4CC1678">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C10C962">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FE6411A">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4F73CB23">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F53A1FA">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4BA044B8">
      <w:pPr>
        <w:pStyle w:val="4"/>
        <w:widowControl w:val="0"/>
        <w:snapToGrid w:val="0"/>
        <w:spacing w:before="0" w:after="0" w:line="360" w:lineRule="auto"/>
        <w:rPr>
          <w:rFonts w:hint="eastAsia" w:ascii="宋体" w:hAnsi="宋体" w:cs="宋体"/>
          <w:color w:val="000000"/>
          <w:spacing w:val="1"/>
          <w:sz w:val="32"/>
          <w:szCs w:val="32"/>
          <w:lang w:eastAsia="zh-CN"/>
        </w:rPr>
      </w:pPr>
    </w:p>
    <w:p w14:paraId="604BD698">
      <w:pPr>
        <w:pStyle w:val="5"/>
        <w:rPr>
          <w:rFonts w:hint="eastAsia"/>
          <w:lang w:eastAsia="zh-CN"/>
        </w:rPr>
      </w:pPr>
    </w:p>
    <w:p w14:paraId="557EC61B">
      <w:pPr>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outlineLvl w:val="9"/>
        <w:rPr>
          <w:rFonts w:hint="eastAsia" w:ascii="宋体" w:hAnsi="宋体" w:cs="宋体"/>
          <w:color w:val="000000"/>
          <w:spacing w:val="1"/>
          <w:sz w:val="32"/>
          <w:szCs w:val="32"/>
          <w:lang w:eastAsia="zh-CN"/>
        </w:rPr>
      </w:pPr>
    </w:p>
    <w:p w14:paraId="61E15DDF">
      <w:pPr>
        <w:pStyle w:val="26"/>
        <w:rPr>
          <w:rFonts w:hint="eastAsia"/>
          <w:lang w:eastAsia="zh-CN"/>
        </w:rPr>
      </w:pPr>
    </w:p>
    <w:p w14:paraId="00DB3439">
      <w:pPr>
        <w:pStyle w:val="26"/>
        <w:rPr>
          <w:rFonts w:hint="eastAsia"/>
          <w:lang w:eastAsia="zh-CN"/>
        </w:rPr>
      </w:pPr>
    </w:p>
    <w:p w14:paraId="5C07F054">
      <w:pPr>
        <w:pStyle w:val="4"/>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cs="宋体"/>
          <w:color w:val="000000"/>
          <w:spacing w:val="1"/>
          <w:sz w:val="32"/>
          <w:szCs w:val="32"/>
          <w:lang w:eastAsia="zh-CN"/>
        </w:rPr>
      </w:pPr>
    </w:p>
    <w:p w14:paraId="3DAEC937">
      <w:pPr>
        <w:pStyle w:val="4"/>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Cs/>
          <w:kern w:val="2"/>
          <w:sz w:val="32"/>
          <w:szCs w:val="32"/>
          <w:lang w:eastAsia="zh-CN"/>
        </w:rPr>
      </w:pPr>
      <w:r>
        <w:rPr>
          <w:rFonts w:hint="eastAsia" w:ascii="宋体" w:hAnsi="宋体" w:cs="宋体"/>
          <w:color w:val="000000"/>
          <w:spacing w:val="1"/>
          <w:sz w:val="32"/>
          <w:szCs w:val="32"/>
          <w:lang w:eastAsia="zh-CN"/>
        </w:rPr>
        <w:t>九</w:t>
      </w:r>
      <w:r>
        <w:rPr>
          <w:rFonts w:hint="eastAsia" w:ascii="宋体" w:hAnsi="宋体" w:eastAsia="宋体" w:cs="宋体"/>
          <w:color w:val="000000"/>
          <w:spacing w:val="1"/>
          <w:sz w:val="32"/>
          <w:szCs w:val="32"/>
          <w:lang w:eastAsia="zh-CN"/>
        </w:rPr>
        <w:t>、</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14:paraId="57D4C7FA">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p>
    <w:p w14:paraId="68BDBB8C">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w:t>
      </w:r>
      <w:r>
        <w:rPr>
          <w:rFonts w:hint="eastAsia" w:ascii="宋体" w:hAnsi="宋体" w:eastAsia="宋体" w:cs="宋体"/>
          <w:sz w:val="28"/>
          <w:szCs w:val="28"/>
          <w:u w:val="single"/>
          <w:lang w:val="en-US" w:eastAsia="zh-CN"/>
        </w:rPr>
        <w:t>西安国际港务区能源站工程锅炉房扩建项目建筑及室外工程建设工程保温管、管件采购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14:paraId="4C53DD61">
      <w:pPr>
        <w:tabs>
          <w:tab w:val="left" w:pos="6600"/>
        </w:tabs>
        <w:snapToGrid w:val="0"/>
        <w:spacing w:line="580" w:lineRule="exact"/>
        <w:textAlignment w:val="bottom"/>
        <w:rPr>
          <w:rFonts w:hint="eastAsia" w:ascii="宋体" w:hAnsi="宋体" w:eastAsia="宋体" w:cs="宋体"/>
          <w:sz w:val="28"/>
          <w:szCs w:val="28"/>
          <w:lang w:eastAsia="zh-CN"/>
        </w:rPr>
      </w:pPr>
    </w:p>
    <w:p w14:paraId="5579FD0D">
      <w:pPr>
        <w:pStyle w:val="26"/>
        <w:rPr>
          <w:rFonts w:hint="eastAsia"/>
          <w:lang w:eastAsia="zh-CN"/>
        </w:rPr>
      </w:pPr>
    </w:p>
    <w:p w14:paraId="5566A06C">
      <w:pPr>
        <w:tabs>
          <w:tab w:val="left" w:pos="6600"/>
        </w:tabs>
        <w:snapToGrid w:val="0"/>
        <w:spacing w:line="580" w:lineRule="exact"/>
        <w:textAlignment w:val="bottom"/>
        <w:rPr>
          <w:rFonts w:hint="eastAsia" w:ascii="宋体" w:hAnsi="宋体" w:eastAsia="宋体" w:cs="宋体"/>
          <w:sz w:val="28"/>
          <w:szCs w:val="28"/>
          <w:lang w:eastAsia="zh-CN"/>
        </w:rPr>
      </w:pPr>
    </w:p>
    <w:p w14:paraId="4E72BE1C">
      <w:pPr>
        <w:pStyle w:val="50"/>
        <w:snapToGrid w:val="0"/>
        <w:spacing w:line="360" w:lineRule="auto"/>
        <w:jc w:val="right"/>
        <w:rPr>
          <w:rFonts w:hint="eastAsia" w:ascii="宋体" w:hAnsi="宋体" w:eastAsia="宋体" w:cs="宋体"/>
          <w:kern w:val="2"/>
          <w:sz w:val="28"/>
          <w:szCs w:val="28"/>
          <w:lang w:eastAsia="zh-CN"/>
        </w:rPr>
      </w:pPr>
    </w:p>
    <w:p w14:paraId="0E3A792B">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0E1F3BBE">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05AC9B8">
      <w:pPr>
        <w:pStyle w:val="26"/>
        <w:ind w:firstLine="0" w:firstLineChars="0"/>
        <w:rPr>
          <w:rFonts w:hint="eastAsia" w:ascii="宋体" w:hAnsi="宋体" w:eastAsia="宋体" w:cs="宋体"/>
          <w:sz w:val="28"/>
          <w:szCs w:val="28"/>
        </w:rPr>
      </w:pPr>
    </w:p>
    <w:p w14:paraId="23EC39E1">
      <w:pPr>
        <w:rPr>
          <w:rFonts w:hint="eastAsia" w:ascii="宋体" w:hAnsi="宋体" w:eastAsia="宋体" w:cs="宋体"/>
        </w:rPr>
      </w:pPr>
    </w:p>
    <w:p w14:paraId="6D25F8DA">
      <w:pPr>
        <w:pStyle w:val="26"/>
        <w:ind w:firstLine="0" w:firstLineChars="0"/>
        <w:jc w:val="both"/>
        <w:rPr>
          <w:rFonts w:hint="default" w:ascii="宋体" w:hAnsi="宋体" w:eastAsia="宋体" w:cs="宋体"/>
          <w:sz w:val="32"/>
          <w:szCs w:val="32"/>
          <w:lang w:val="en-US" w:eastAsia="zh-CN"/>
        </w:rPr>
      </w:pPr>
    </w:p>
    <w:p w14:paraId="67DAB5A8">
      <w:pPr>
        <w:pStyle w:val="26"/>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2318D4-4C38-43ED-867C-61E82157910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0A76E567-FBB7-40C1-9F57-415E0F5084AE}"/>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3" w:fontKey="{5627ED5E-4A97-4467-B5B5-EF56D9B64C80}"/>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4" w:fontKey="{F6AE52AF-AC8B-4EB5-8B48-A855A2FF9B9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0F08">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B1EC57"/>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14:paraId="7DB1EC5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D083">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FE4207"/>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62FE420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689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102FE">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67C102FE">
                    <w:pPr>
                      <w:snapToGrid w:val="0"/>
                      <w:rPr>
                        <w:rFonts w:ascii="宋体" w:hAnsi="宋体" w:eastAsia="宋体" w:cs="宋体"/>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49242"/>
    <w:multiLevelType w:val="singleLevel"/>
    <w:tmpl w:val="8CF49242"/>
    <w:lvl w:ilvl="0" w:tentative="0">
      <w:start w:val="1"/>
      <w:numFmt w:val="decimal"/>
      <w:lvlText w:val="%1."/>
      <w:lvlJc w:val="left"/>
      <w:pPr>
        <w:tabs>
          <w:tab w:val="left" w:pos="312"/>
        </w:tabs>
      </w:p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3E8840E3"/>
    <w:multiLevelType w:val="singleLevel"/>
    <w:tmpl w:val="3E8840E3"/>
    <w:lvl w:ilvl="0" w:tentative="0">
      <w:start w:val="1"/>
      <w:numFmt w:val="decimal"/>
      <w:lvlText w:val="%1."/>
      <w:lvlJc w:val="left"/>
      <w:pPr>
        <w:ind w:left="425" w:hanging="425"/>
      </w:pPr>
      <w:rPr>
        <w:rFonts w:hint="default"/>
      </w:rPr>
    </w:lvl>
  </w:abstractNum>
  <w:abstractNum w:abstractNumId="4">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0D4"/>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E919EC"/>
    <w:rsid w:val="03F54F44"/>
    <w:rsid w:val="0497742C"/>
    <w:rsid w:val="04CF1E07"/>
    <w:rsid w:val="05055CA7"/>
    <w:rsid w:val="055E6A41"/>
    <w:rsid w:val="05A37F3E"/>
    <w:rsid w:val="062D594E"/>
    <w:rsid w:val="06996F25"/>
    <w:rsid w:val="06F5135C"/>
    <w:rsid w:val="06FF6171"/>
    <w:rsid w:val="071B4C49"/>
    <w:rsid w:val="079B5895"/>
    <w:rsid w:val="081E47AF"/>
    <w:rsid w:val="083D1897"/>
    <w:rsid w:val="08635D9F"/>
    <w:rsid w:val="086921A8"/>
    <w:rsid w:val="08B33A1B"/>
    <w:rsid w:val="09091E8B"/>
    <w:rsid w:val="09196A8A"/>
    <w:rsid w:val="09653D7E"/>
    <w:rsid w:val="096F6B05"/>
    <w:rsid w:val="09A555BC"/>
    <w:rsid w:val="0A2E402E"/>
    <w:rsid w:val="0A497D62"/>
    <w:rsid w:val="0A8770AF"/>
    <w:rsid w:val="0AC850F9"/>
    <w:rsid w:val="0AE624F2"/>
    <w:rsid w:val="0B2932A9"/>
    <w:rsid w:val="0BAF5CFD"/>
    <w:rsid w:val="0C0E70CD"/>
    <w:rsid w:val="0C270DEC"/>
    <w:rsid w:val="0C63132C"/>
    <w:rsid w:val="0CB72372"/>
    <w:rsid w:val="0D3832CF"/>
    <w:rsid w:val="0D8152F5"/>
    <w:rsid w:val="0E3F74B3"/>
    <w:rsid w:val="0E620603"/>
    <w:rsid w:val="0E755A06"/>
    <w:rsid w:val="0F020CE8"/>
    <w:rsid w:val="0F920BBC"/>
    <w:rsid w:val="0FCF484D"/>
    <w:rsid w:val="1002488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2EA0187"/>
    <w:rsid w:val="1438224C"/>
    <w:rsid w:val="143B31BA"/>
    <w:rsid w:val="147B2863"/>
    <w:rsid w:val="14DF5F6B"/>
    <w:rsid w:val="1519423C"/>
    <w:rsid w:val="152A13E0"/>
    <w:rsid w:val="15C0156B"/>
    <w:rsid w:val="15D26D59"/>
    <w:rsid w:val="16476C59"/>
    <w:rsid w:val="164A40FD"/>
    <w:rsid w:val="164E77A2"/>
    <w:rsid w:val="16673495"/>
    <w:rsid w:val="17AA0C9F"/>
    <w:rsid w:val="1857306C"/>
    <w:rsid w:val="185C4748"/>
    <w:rsid w:val="189F2F01"/>
    <w:rsid w:val="18C11FF4"/>
    <w:rsid w:val="18E55A67"/>
    <w:rsid w:val="18E63995"/>
    <w:rsid w:val="18E941BF"/>
    <w:rsid w:val="196A54B3"/>
    <w:rsid w:val="1976123A"/>
    <w:rsid w:val="1B541992"/>
    <w:rsid w:val="1BE36575"/>
    <w:rsid w:val="1C0E658E"/>
    <w:rsid w:val="1C2229D6"/>
    <w:rsid w:val="1C316C17"/>
    <w:rsid w:val="1C456932"/>
    <w:rsid w:val="1D483523"/>
    <w:rsid w:val="1D7B16E2"/>
    <w:rsid w:val="1DCA5F3E"/>
    <w:rsid w:val="1DCD7BE2"/>
    <w:rsid w:val="1DF51271"/>
    <w:rsid w:val="1E193401"/>
    <w:rsid w:val="1E49616B"/>
    <w:rsid w:val="1E690D22"/>
    <w:rsid w:val="1E813387"/>
    <w:rsid w:val="1EA013DF"/>
    <w:rsid w:val="1EB74DFC"/>
    <w:rsid w:val="1F4C1053"/>
    <w:rsid w:val="1F543666"/>
    <w:rsid w:val="1FAD46B3"/>
    <w:rsid w:val="1FC3545A"/>
    <w:rsid w:val="1FE80954"/>
    <w:rsid w:val="202334CD"/>
    <w:rsid w:val="205159CE"/>
    <w:rsid w:val="214B794E"/>
    <w:rsid w:val="217C5EFE"/>
    <w:rsid w:val="223B58C5"/>
    <w:rsid w:val="22BA1DE1"/>
    <w:rsid w:val="237202AC"/>
    <w:rsid w:val="239B4E45"/>
    <w:rsid w:val="23B034F3"/>
    <w:rsid w:val="23CE62EC"/>
    <w:rsid w:val="23EE3916"/>
    <w:rsid w:val="24351414"/>
    <w:rsid w:val="243B01A4"/>
    <w:rsid w:val="24432BA1"/>
    <w:rsid w:val="244A1820"/>
    <w:rsid w:val="24616393"/>
    <w:rsid w:val="24CA1DCA"/>
    <w:rsid w:val="25F934C3"/>
    <w:rsid w:val="261F7BFC"/>
    <w:rsid w:val="26566C4F"/>
    <w:rsid w:val="265A4A4B"/>
    <w:rsid w:val="26D33913"/>
    <w:rsid w:val="27363952"/>
    <w:rsid w:val="2738293A"/>
    <w:rsid w:val="27793455"/>
    <w:rsid w:val="2781160D"/>
    <w:rsid w:val="279F63B2"/>
    <w:rsid w:val="27BE60C8"/>
    <w:rsid w:val="28E16AF1"/>
    <w:rsid w:val="29041680"/>
    <w:rsid w:val="291D5BC0"/>
    <w:rsid w:val="29326632"/>
    <w:rsid w:val="29B233CF"/>
    <w:rsid w:val="29B34098"/>
    <w:rsid w:val="29B8045B"/>
    <w:rsid w:val="2A526844"/>
    <w:rsid w:val="2A6873D9"/>
    <w:rsid w:val="2A925CC5"/>
    <w:rsid w:val="2B1169E1"/>
    <w:rsid w:val="2B155FBD"/>
    <w:rsid w:val="2D0B6797"/>
    <w:rsid w:val="2D4E02F3"/>
    <w:rsid w:val="2DF2419C"/>
    <w:rsid w:val="2F4C1ADC"/>
    <w:rsid w:val="2F7D16A3"/>
    <w:rsid w:val="2FED49A5"/>
    <w:rsid w:val="30351621"/>
    <w:rsid w:val="304146A5"/>
    <w:rsid w:val="304E43EE"/>
    <w:rsid w:val="30722EFB"/>
    <w:rsid w:val="3088397B"/>
    <w:rsid w:val="30BC1E37"/>
    <w:rsid w:val="30BF4DF8"/>
    <w:rsid w:val="311C6265"/>
    <w:rsid w:val="313666F5"/>
    <w:rsid w:val="314E18F1"/>
    <w:rsid w:val="317168C1"/>
    <w:rsid w:val="31903F88"/>
    <w:rsid w:val="31E80A90"/>
    <w:rsid w:val="32243CB5"/>
    <w:rsid w:val="32247BE6"/>
    <w:rsid w:val="326C33E5"/>
    <w:rsid w:val="32F970F5"/>
    <w:rsid w:val="34217016"/>
    <w:rsid w:val="34A8669C"/>
    <w:rsid w:val="350925BE"/>
    <w:rsid w:val="350F5B39"/>
    <w:rsid w:val="3542359F"/>
    <w:rsid w:val="35715980"/>
    <w:rsid w:val="35991FA1"/>
    <w:rsid w:val="35D05C27"/>
    <w:rsid w:val="360F7F40"/>
    <w:rsid w:val="366A36E8"/>
    <w:rsid w:val="37C05516"/>
    <w:rsid w:val="37FE537F"/>
    <w:rsid w:val="380A1A4F"/>
    <w:rsid w:val="381312B3"/>
    <w:rsid w:val="381713C1"/>
    <w:rsid w:val="38527B5A"/>
    <w:rsid w:val="38926CBD"/>
    <w:rsid w:val="38961971"/>
    <w:rsid w:val="38AF08B5"/>
    <w:rsid w:val="39515D96"/>
    <w:rsid w:val="39594040"/>
    <w:rsid w:val="3965313B"/>
    <w:rsid w:val="398268AC"/>
    <w:rsid w:val="39F743A2"/>
    <w:rsid w:val="3A2D4CBF"/>
    <w:rsid w:val="3A4F2593"/>
    <w:rsid w:val="3B095931"/>
    <w:rsid w:val="3B677BD1"/>
    <w:rsid w:val="3CF75878"/>
    <w:rsid w:val="3D0E0250"/>
    <w:rsid w:val="3D497D6B"/>
    <w:rsid w:val="3D5D28A5"/>
    <w:rsid w:val="3D8E3DD6"/>
    <w:rsid w:val="3DA656BC"/>
    <w:rsid w:val="3E631381"/>
    <w:rsid w:val="3EA169E6"/>
    <w:rsid w:val="3EF27F98"/>
    <w:rsid w:val="3F313892"/>
    <w:rsid w:val="3F4E4EEB"/>
    <w:rsid w:val="3F6A381A"/>
    <w:rsid w:val="3FAE3F57"/>
    <w:rsid w:val="3FCB15E3"/>
    <w:rsid w:val="401D4304"/>
    <w:rsid w:val="40FB63B5"/>
    <w:rsid w:val="415E1D33"/>
    <w:rsid w:val="418C4C07"/>
    <w:rsid w:val="41D41319"/>
    <w:rsid w:val="421F5007"/>
    <w:rsid w:val="4246200C"/>
    <w:rsid w:val="42CE526A"/>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8372A6F"/>
    <w:rsid w:val="49E54986"/>
    <w:rsid w:val="4A64117C"/>
    <w:rsid w:val="4A825DF7"/>
    <w:rsid w:val="4A9377B7"/>
    <w:rsid w:val="4A9B05A9"/>
    <w:rsid w:val="4ABC573D"/>
    <w:rsid w:val="4B8244EA"/>
    <w:rsid w:val="4BBA6814"/>
    <w:rsid w:val="4C2E74ED"/>
    <w:rsid w:val="4CB96FE8"/>
    <w:rsid w:val="4D2845B6"/>
    <w:rsid w:val="4D387840"/>
    <w:rsid w:val="4D772620"/>
    <w:rsid w:val="4D785696"/>
    <w:rsid w:val="4DC4675B"/>
    <w:rsid w:val="4E1B1545"/>
    <w:rsid w:val="4E257888"/>
    <w:rsid w:val="4E395863"/>
    <w:rsid w:val="4E5110AD"/>
    <w:rsid w:val="4E6314B0"/>
    <w:rsid w:val="4E75445C"/>
    <w:rsid w:val="4E88235B"/>
    <w:rsid w:val="4F2655EB"/>
    <w:rsid w:val="4F3F0FC5"/>
    <w:rsid w:val="4F6C4D49"/>
    <w:rsid w:val="5011167D"/>
    <w:rsid w:val="509021A9"/>
    <w:rsid w:val="510F49AB"/>
    <w:rsid w:val="51203D18"/>
    <w:rsid w:val="51230560"/>
    <w:rsid w:val="51652C8F"/>
    <w:rsid w:val="51D53255"/>
    <w:rsid w:val="523C15E2"/>
    <w:rsid w:val="52B34B72"/>
    <w:rsid w:val="52FF0648"/>
    <w:rsid w:val="5316356A"/>
    <w:rsid w:val="53A93F3E"/>
    <w:rsid w:val="53F13B05"/>
    <w:rsid w:val="53F47C4C"/>
    <w:rsid w:val="53F758F5"/>
    <w:rsid w:val="545A223D"/>
    <w:rsid w:val="545C2115"/>
    <w:rsid w:val="54684012"/>
    <w:rsid w:val="547C30D3"/>
    <w:rsid w:val="548236CB"/>
    <w:rsid w:val="54926A63"/>
    <w:rsid w:val="54BC6BD8"/>
    <w:rsid w:val="5529359A"/>
    <w:rsid w:val="556B386F"/>
    <w:rsid w:val="55CE318F"/>
    <w:rsid w:val="56370A2A"/>
    <w:rsid w:val="565279A3"/>
    <w:rsid w:val="56706DEC"/>
    <w:rsid w:val="572F7119"/>
    <w:rsid w:val="573A665F"/>
    <w:rsid w:val="57CC2F03"/>
    <w:rsid w:val="58000601"/>
    <w:rsid w:val="58817598"/>
    <w:rsid w:val="59062ABF"/>
    <w:rsid w:val="59924B36"/>
    <w:rsid w:val="59C25C29"/>
    <w:rsid w:val="5A934354"/>
    <w:rsid w:val="5A9E5450"/>
    <w:rsid w:val="5A9E63D2"/>
    <w:rsid w:val="5AD579D5"/>
    <w:rsid w:val="5AE23D8B"/>
    <w:rsid w:val="5B7B1CE1"/>
    <w:rsid w:val="5BC54EBD"/>
    <w:rsid w:val="5BF90726"/>
    <w:rsid w:val="5C8C2DB7"/>
    <w:rsid w:val="5CB70B8B"/>
    <w:rsid w:val="5DDB75E5"/>
    <w:rsid w:val="5E0D46A2"/>
    <w:rsid w:val="5E1614EB"/>
    <w:rsid w:val="5E2A34C9"/>
    <w:rsid w:val="5E59547F"/>
    <w:rsid w:val="5EA71A34"/>
    <w:rsid w:val="5F593573"/>
    <w:rsid w:val="5F5F7CC2"/>
    <w:rsid w:val="5F6B7FF9"/>
    <w:rsid w:val="5F6C08EF"/>
    <w:rsid w:val="5F830D4C"/>
    <w:rsid w:val="5FF7215C"/>
    <w:rsid w:val="600E2A32"/>
    <w:rsid w:val="606A5704"/>
    <w:rsid w:val="60AF1486"/>
    <w:rsid w:val="616B35FF"/>
    <w:rsid w:val="61B820DA"/>
    <w:rsid w:val="61C032F6"/>
    <w:rsid w:val="61E02B58"/>
    <w:rsid w:val="620F17D6"/>
    <w:rsid w:val="62334E21"/>
    <w:rsid w:val="624B3A99"/>
    <w:rsid w:val="626C66E0"/>
    <w:rsid w:val="62E009FD"/>
    <w:rsid w:val="634D0519"/>
    <w:rsid w:val="63B20CD4"/>
    <w:rsid w:val="64657D8E"/>
    <w:rsid w:val="647D482C"/>
    <w:rsid w:val="649D4B1A"/>
    <w:rsid w:val="652629B2"/>
    <w:rsid w:val="65E30F2D"/>
    <w:rsid w:val="660B7DA3"/>
    <w:rsid w:val="66707695"/>
    <w:rsid w:val="66A448C7"/>
    <w:rsid w:val="66AF61D1"/>
    <w:rsid w:val="66F378E4"/>
    <w:rsid w:val="673E020C"/>
    <w:rsid w:val="6746070C"/>
    <w:rsid w:val="677D766F"/>
    <w:rsid w:val="684B5726"/>
    <w:rsid w:val="69C207FD"/>
    <w:rsid w:val="6A0A4F82"/>
    <w:rsid w:val="6AD06230"/>
    <w:rsid w:val="6AEB631A"/>
    <w:rsid w:val="6B087A1B"/>
    <w:rsid w:val="6B0A2326"/>
    <w:rsid w:val="6BF45BB6"/>
    <w:rsid w:val="6C9A1CA8"/>
    <w:rsid w:val="6C9A324D"/>
    <w:rsid w:val="6D0A59CF"/>
    <w:rsid w:val="6D2C542C"/>
    <w:rsid w:val="6D4364FA"/>
    <w:rsid w:val="6D776538"/>
    <w:rsid w:val="6DCC0D4E"/>
    <w:rsid w:val="6E1E6862"/>
    <w:rsid w:val="6EF64322"/>
    <w:rsid w:val="6F9E30AD"/>
    <w:rsid w:val="7256244B"/>
    <w:rsid w:val="72DE38E7"/>
    <w:rsid w:val="730075F6"/>
    <w:rsid w:val="73D70F8A"/>
    <w:rsid w:val="73FA59BB"/>
    <w:rsid w:val="744750A5"/>
    <w:rsid w:val="75DE4099"/>
    <w:rsid w:val="764500E7"/>
    <w:rsid w:val="768C5180"/>
    <w:rsid w:val="76AA09AF"/>
    <w:rsid w:val="76BA6676"/>
    <w:rsid w:val="77364257"/>
    <w:rsid w:val="77A64A61"/>
    <w:rsid w:val="78184B8D"/>
    <w:rsid w:val="788D6D70"/>
    <w:rsid w:val="79F65ECE"/>
    <w:rsid w:val="7B1856CB"/>
    <w:rsid w:val="7B2A199D"/>
    <w:rsid w:val="7B631937"/>
    <w:rsid w:val="7BA10DD7"/>
    <w:rsid w:val="7C2A5D04"/>
    <w:rsid w:val="7C8E54B4"/>
    <w:rsid w:val="7C9549E8"/>
    <w:rsid w:val="7CEF0A3B"/>
    <w:rsid w:val="7D77768B"/>
    <w:rsid w:val="7DBF4EA3"/>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4">
    <w:name w:val="heading 2"/>
    <w:basedOn w:val="5"/>
    <w:next w:val="5"/>
    <w:qFormat/>
    <w:uiPriority w:val="0"/>
    <w:pPr>
      <w:keepNext/>
      <w:keepLines/>
      <w:spacing w:before="260" w:after="260" w:line="413" w:lineRule="auto"/>
      <w:outlineLvl w:val="1"/>
    </w:pPr>
    <w:rPr>
      <w:rFonts w:eastAsia="宋体"/>
      <w:sz w:val="44"/>
    </w:rPr>
  </w:style>
  <w:style w:type="paragraph" w:styleId="6">
    <w:name w:val="heading 3"/>
    <w:basedOn w:val="1"/>
    <w:next w:val="7"/>
    <w:link w:val="2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after="60"/>
      <w:jc w:val="center"/>
      <w:outlineLvl w:val="0"/>
    </w:pPr>
    <w:rPr>
      <w:rFonts w:ascii="Arial" w:hAnsi="Arial"/>
      <w:b/>
      <w:sz w:val="32"/>
    </w:rPr>
  </w:style>
  <w:style w:type="paragraph" w:styleId="7">
    <w:name w:val="Normal Indent"/>
    <w:basedOn w:val="1"/>
    <w:qFormat/>
    <w:uiPriority w:val="0"/>
    <w:pPr>
      <w:spacing w:line="300" w:lineRule="auto"/>
      <w:ind w:firstLine="420" w:firstLineChars="200"/>
    </w:pPr>
    <w:rPr>
      <w:szCs w:val="24"/>
    </w:rPr>
  </w:style>
  <w:style w:type="paragraph" w:styleId="8">
    <w:name w:val="Document Map"/>
    <w:basedOn w:val="1"/>
    <w:link w:val="30"/>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31"/>
    <w:unhideWhenUsed/>
    <w:qFormat/>
    <w:uiPriority w:val="99"/>
    <w:pPr>
      <w:jc w:val="left"/>
    </w:pPr>
    <w:rPr>
      <w:rFonts w:ascii="等线" w:hAnsi="等线" w:eastAsia="等线" w:cs="Times New Roman"/>
      <w:szCs w:val="22"/>
    </w:rPr>
  </w:style>
  <w:style w:type="paragraph" w:styleId="10">
    <w:name w:val="Body Text"/>
    <w:basedOn w:val="1"/>
    <w:next w:val="1"/>
    <w:qFormat/>
    <w:uiPriority w:val="0"/>
    <w:pPr>
      <w:spacing w:line="0" w:lineRule="atLeast"/>
    </w:pPr>
    <w:rPr>
      <w:sz w:val="30"/>
    </w:rPr>
  </w:style>
  <w:style w:type="paragraph" w:styleId="11">
    <w:name w:val="Body Text Indent"/>
    <w:basedOn w:val="1"/>
    <w:qFormat/>
    <w:uiPriority w:val="0"/>
    <w:pPr>
      <w:spacing w:line="480" w:lineRule="exact"/>
      <w:ind w:firstLine="470" w:firstLineChars="196"/>
    </w:pPr>
    <w:rPr>
      <w:rFonts w:ascii="宋体" w:hAnsi="宋体"/>
      <w:sz w:val="24"/>
    </w:rPr>
  </w:style>
  <w:style w:type="paragraph" w:styleId="12">
    <w:name w:val="Plain Text"/>
    <w:basedOn w:val="1"/>
    <w:link w:val="32"/>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3"/>
    <w:unhideWhenUsed/>
    <w:qFormat/>
    <w:uiPriority w:val="0"/>
    <w:rPr>
      <w:rFonts w:ascii="等线" w:hAnsi="等线" w:eastAsia="等线" w:cs="Times New Roman"/>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5"/>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6"/>
    <w:unhideWhenUsed/>
    <w:qFormat/>
    <w:uiPriority w:val="99"/>
    <w:rPr>
      <w:rFonts w:ascii="等线" w:hAnsi="等线" w:eastAsia="等线" w:cs="Times New Roman"/>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qFormat/>
    <w:uiPriority w:val="0"/>
    <w:rPr>
      <w:color w:val="800080"/>
      <w:u w:val="none"/>
    </w:rPr>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paragraph" w:customStyle="1" w:styleId="26">
    <w:name w:val="正文缩进1"/>
    <w:basedOn w:val="27"/>
    <w:qFormat/>
    <w:uiPriority w:val="0"/>
    <w:pPr>
      <w:ind w:firstLine="420" w:firstLineChars="200"/>
    </w:pPr>
  </w:style>
  <w:style w:type="paragraph" w:customStyle="1" w:styleId="27">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8">
    <w:name w:val="标题 1 Char"/>
    <w:link w:val="3"/>
    <w:qFormat/>
    <w:uiPriority w:val="0"/>
    <w:rPr>
      <w:rFonts w:ascii="Century Gothic" w:hAnsi="Century Gothic" w:eastAsia="幼圆"/>
      <w:b/>
      <w:kern w:val="44"/>
      <w:sz w:val="44"/>
    </w:rPr>
  </w:style>
  <w:style w:type="character" w:customStyle="1" w:styleId="29">
    <w:name w:val="标题 3 Char"/>
    <w:link w:val="6"/>
    <w:qFormat/>
    <w:uiPriority w:val="0"/>
    <w:rPr>
      <w:b/>
      <w:bCs/>
      <w:kern w:val="2"/>
      <w:sz w:val="32"/>
      <w:szCs w:val="32"/>
    </w:rPr>
  </w:style>
  <w:style w:type="character" w:customStyle="1" w:styleId="30">
    <w:name w:val="文档结构图 Char"/>
    <w:link w:val="8"/>
    <w:qFormat/>
    <w:uiPriority w:val="0"/>
    <w:rPr>
      <w:rFonts w:ascii="Century Gothic" w:hAnsi="Century Gothic" w:eastAsia="幼圆"/>
      <w:kern w:val="2"/>
      <w:sz w:val="21"/>
      <w:shd w:val="clear" w:color="auto" w:fill="000080"/>
    </w:rPr>
  </w:style>
  <w:style w:type="character" w:customStyle="1" w:styleId="31">
    <w:name w:val="批注文字 Char"/>
    <w:link w:val="9"/>
    <w:qFormat/>
    <w:uiPriority w:val="99"/>
    <w:rPr>
      <w:rFonts w:ascii="等线" w:hAnsi="等线" w:eastAsia="等线"/>
      <w:kern w:val="2"/>
      <w:sz w:val="21"/>
      <w:szCs w:val="22"/>
    </w:rPr>
  </w:style>
  <w:style w:type="character" w:customStyle="1" w:styleId="32">
    <w:name w:val="纯文本 Char"/>
    <w:link w:val="12"/>
    <w:qFormat/>
    <w:uiPriority w:val="0"/>
    <w:rPr>
      <w:rFonts w:ascii="宋体" w:hAnsi="Courier New" w:eastAsia="幼圆"/>
      <w:kern w:val="2"/>
      <w:sz w:val="21"/>
    </w:rPr>
  </w:style>
  <w:style w:type="character" w:customStyle="1" w:styleId="33">
    <w:name w:val="批注框文本 Char"/>
    <w:link w:val="13"/>
    <w:qFormat/>
    <w:uiPriority w:val="99"/>
    <w:rPr>
      <w:rFonts w:ascii="等线" w:hAnsi="等线" w:eastAsia="等线"/>
      <w:kern w:val="2"/>
      <w:sz w:val="18"/>
      <w:szCs w:val="18"/>
    </w:rPr>
  </w:style>
  <w:style w:type="character" w:customStyle="1" w:styleId="34">
    <w:name w:val="页眉 Char"/>
    <w:link w:val="15"/>
    <w:qFormat/>
    <w:uiPriority w:val="0"/>
    <w:rPr>
      <w:kern w:val="2"/>
      <w:sz w:val="18"/>
      <w:szCs w:val="24"/>
    </w:rPr>
  </w:style>
  <w:style w:type="character" w:customStyle="1" w:styleId="35">
    <w:name w:val="正文文本缩进 3 Char"/>
    <w:link w:val="16"/>
    <w:qFormat/>
    <w:uiPriority w:val="0"/>
    <w:rPr>
      <w:rFonts w:ascii="仿宋_GB2312" w:hAnsi="MS Outlook" w:eastAsia="仿宋_GB2312"/>
      <w:spacing w:val="-20"/>
      <w:kern w:val="2"/>
      <w:sz w:val="32"/>
    </w:rPr>
  </w:style>
  <w:style w:type="character" w:customStyle="1" w:styleId="36">
    <w:name w:val="批注主题 Char"/>
    <w:link w:val="18"/>
    <w:qFormat/>
    <w:uiPriority w:val="99"/>
    <w:rPr>
      <w:rFonts w:ascii="等线" w:hAnsi="等线" w:eastAsia="等线"/>
      <w:b/>
      <w:bCs/>
      <w:kern w:val="2"/>
      <w:sz w:val="21"/>
      <w:szCs w:val="22"/>
    </w:rPr>
  </w:style>
  <w:style w:type="character" w:customStyle="1" w:styleId="37">
    <w:name w:val="font31"/>
    <w:qFormat/>
    <w:uiPriority w:val="0"/>
    <w:rPr>
      <w:rFonts w:hint="default" w:ascii="Times New Roman" w:hAnsi="Times New Roman" w:cs="Times New Roman"/>
      <w:color w:val="000000"/>
      <w:sz w:val="28"/>
      <w:szCs w:val="28"/>
      <w:u w:val="none"/>
    </w:rPr>
  </w:style>
  <w:style w:type="character" w:customStyle="1" w:styleId="38">
    <w:name w:val="font11"/>
    <w:basedOn w:val="21"/>
    <w:qFormat/>
    <w:uiPriority w:val="0"/>
    <w:rPr>
      <w:rFonts w:hint="default" w:ascii="Times New Roman" w:hAnsi="Times New Roman" w:cs="Times New Roman"/>
      <w:color w:val="000000"/>
      <w:sz w:val="28"/>
      <w:szCs w:val="28"/>
      <w:u w:val="none"/>
    </w:rPr>
  </w:style>
  <w:style w:type="character" w:customStyle="1" w:styleId="39">
    <w:name w:val="font51"/>
    <w:basedOn w:val="21"/>
    <w:qFormat/>
    <w:uiPriority w:val="0"/>
    <w:rPr>
      <w:rFonts w:hint="eastAsia" w:ascii="仿宋" w:hAnsi="仿宋" w:eastAsia="仿宋" w:cs="仿宋"/>
      <w:color w:val="000000"/>
      <w:sz w:val="20"/>
      <w:szCs w:val="20"/>
      <w:u w:val="none"/>
    </w:rPr>
  </w:style>
  <w:style w:type="character" w:customStyle="1" w:styleId="40">
    <w:name w:val="font91"/>
    <w:qFormat/>
    <w:uiPriority w:val="0"/>
    <w:rPr>
      <w:rFonts w:ascii="Arial" w:hAnsi="Arial" w:cs="Arial"/>
      <w:color w:val="000000"/>
      <w:sz w:val="24"/>
      <w:szCs w:val="24"/>
      <w:u w:val="none"/>
    </w:rPr>
  </w:style>
  <w:style w:type="character" w:customStyle="1" w:styleId="41">
    <w:name w:val="批注文字 字符"/>
    <w:qFormat/>
    <w:uiPriority w:val="99"/>
    <w:rPr>
      <w:rFonts w:ascii="等线" w:hAnsi="等线" w:eastAsia="等线"/>
      <w:kern w:val="2"/>
      <w:sz w:val="21"/>
      <w:szCs w:val="22"/>
    </w:rPr>
  </w:style>
  <w:style w:type="character" w:customStyle="1" w:styleId="42">
    <w:name w:val="font41"/>
    <w:qFormat/>
    <w:uiPriority w:val="0"/>
    <w:rPr>
      <w:rFonts w:hint="eastAsia" w:ascii="仿宋" w:hAnsi="仿宋" w:eastAsia="仿宋" w:cs="仿宋"/>
      <w:color w:val="000000"/>
      <w:sz w:val="24"/>
      <w:szCs w:val="24"/>
      <w:u w:val="none"/>
    </w:rPr>
  </w:style>
  <w:style w:type="character" w:customStyle="1" w:styleId="43">
    <w:name w:val="font21"/>
    <w:qFormat/>
    <w:uiPriority w:val="0"/>
    <w:rPr>
      <w:rFonts w:hint="eastAsia" w:ascii="宋体" w:hAnsi="宋体" w:eastAsia="宋体" w:cs="宋体"/>
      <w:color w:val="000000"/>
      <w:sz w:val="28"/>
      <w:szCs w:val="28"/>
      <w:u w:val="none"/>
    </w:rPr>
  </w:style>
  <w:style w:type="character" w:customStyle="1" w:styleId="44">
    <w:name w:val="font01"/>
    <w:qFormat/>
    <w:uiPriority w:val="0"/>
    <w:rPr>
      <w:rFonts w:hint="eastAsia" w:ascii="宋体" w:hAnsi="宋体" w:eastAsia="宋体" w:cs="宋体"/>
      <w:color w:val="000000"/>
      <w:sz w:val="28"/>
      <w:szCs w:val="28"/>
      <w:u w:val="none"/>
    </w:rPr>
  </w:style>
  <w:style w:type="character" w:customStyle="1" w:styleId="45">
    <w:name w:val="font81"/>
    <w:qFormat/>
    <w:uiPriority w:val="0"/>
    <w:rPr>
      <w:rFonts w:hint="eastAsia" w:ascii="宋体" w:hAnsi="宋体" w:eastAsia="宋体" w:cs="宋体"/>
      <w:color w:val="000000"/>
      <w:sz w:val="24"/>
      <w:szCs w:val="24"/>
      <w:u w:val="none"/>
    </w:rPr>
  </w:style>
  <w:style w:type="character" w:customStyle="1" w:styleId="46">
    <w:name w:val="font71"/>
    <w:basedOn w:val="21"/>
    <w:qFormat/>
    <w:uiPriority w:val="0"/>
    <w:rPr>
      <w:rFonts w:hint="default" w:ascii="Arial" w:hAnsi="Arial" w:cs="Arial"/>
      <w:color w:val="000000"/>
      <w:sz w:val="20"/>
      <w:szCs w:val="20"/>
      <w:u w:val="none"/>
    </w:rPr>
  </w:style>
  <w:style w:type="character" w:customStyle="1" w:styleId="47">
    <w:name w:val="page number"/>
    <w:basedOn w:val="21"/>
    <w:qFormat/>
    <w:uiPriority w:val="0"/>
  </w:style>
  <w:style w:type="paragraph" w:customStyle="1" w:styleId="48">
    <w:name w:val="无间隔1"/>
    <w:qFormat/>
    <w:uiPriority w:val="1"/>
    <w:rPr>
      <w:rFonts w:ascii="宋体" w:hAnsi="宋体" w:eastAsia="宋体" w:cs="宋体"/>
      <w:sz w:val="24"/>
      <w:szCs w:val="24"/>
      <w:lang w:val="en-US" w:eastAsia="zh-CN" w:bidi="ar-SA"/>
    </w:rPr>
  </w:style>
  <w:style w:type="paragraph" w:customStyle="1" w:styleId="49">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50">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1">
    <w:name w:val="缺省文本"/>
    <w:basedOn w:val="1"/>
    <w:qFormat/>
    <w:uiPriority w:val="0"/>
    <w:pPr>
      <w:autoSpaceDE w:val="0"/>
      <w:autoSpaceDN w:val="0"/>
      <w:adjustRightInd w:val="0"/>
      <w:jc w:val="left"/>
    </w:pPr>
    <w:rPr>
      <w:kern w:val="0"/>
      <w:sz w:val="24"/>
    </w:rPr>
  </w:style>
  <w:style w:type="paragraph" w:customStyle="1" w:styleId="52">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3">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4">
    <w:name w:val="List Paragraph"/>
    <w:basedOn w:val="1"/>
    <w:qFormat/>
    <w:uiPriority w:val="34"/>
    <w:pPr>
      <w:ind w:firstLine="420" w:firstLineChars="200"/>
    </w:pPr>
    <w:rPr>
      <w:szCs w:val="20"/>
    </w:rPr>
  </w:style>
  <w:style w:type="paragraph" w:customStyle="1" w:styleId="55">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6">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7">
    <w:name w:val="中文正文、"/>
    <w:basedOn w:val="1"/>
    <w:qFormat/>
    <w:uiPriority w:val="0"/>
    <w:pPr>
      <w:spacing w:line="360" w:lineRule="auto"/>
      <w:ind w:firstLine="420" w:firstLineChars="200"/>
      <w:jc w:val="left"/>
    </w:pPr>
    <w:rPr>
      <w:kern w:val="0"/>
      <w:sz w:val="20"/>
      <w:szCs w:val="20"/>
    </w:rPr>
  </w:style>
  <w:style w:type="paragraph" w:customStyle="1" w:styleId="58">
    <w:name w:val="样式 正文部分 + 左侧:  0.37 厘米 右侧:  0.37 厘米"/>
    <w:basedOn w:val="59"/>
    <w:qFormat/>
    <w:uiPriority w:val="0"/>
    <w:pPr>
      <w:ind w:left="100" w:leftChars="100" w:right="210" w:rightChars="100"/>
    </w:pPr>
  </w:style>
  <w:style w:type="paragraph" w:customStyle="1" w:styleId="59">
    <w:name w:val="正文部分"/>
    <w:basedOn w:val="12"/>
    <w:qFormat/>
    <w:uiPriority w:val="0"/>
    <w:pPr>
      <w:spacing w:before="120" w:after="120" w:line="360" w:lineRule="auto"/>
    </w:pPr>
    <w:rPr>
      <w:rFonts w:hAnsi="宋体"/>
      <w:sz w:val="24"/>
      <w:szCs w:val="20"/>
    </w:rPr>
  </w:style>
  <w:style w:type="paragraph" w:customStyle="1" w:styleId="60">
    <w:name w:val="样式1"/>
    <w:basedOn w:val="1"/>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7999</Words>
  <Characters>9974</Characters>
  <Lines>135</Lines>
  <Paragraphs>38</Paragraphs>
  <TotalTime>29</TotalTime>
  <ScaleCrop>false</ScaleCrop>
  <LinksUpToDate>false</LinksUpToDate>
  <CharactersWithSpaces>10776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Pickyi</cp:lastModifiedBy>
  <cp:lastPrinted>2024-07-19T08:31:00Z</cp:lastPrinted>
  <dcterms:modified xsi:type="dcterms:W3CDTF">2024-07-19T09:00:49Z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commondata">
    <vt:lpwstr>eyJoZGlkIjoiZGZjZmY1ODY5YzJjZTRhNTAwN2Y3YmY0MDU0Zjc2MWMifQ==</vt:lpwstr>
  </property>
  <property fmtid="{D5CDD505-2E9C-101B-9397-08002B2CF9AE}" pid="4" name="ICV">
    <vt:lpwstr>50583757EAD14D99B25F6D65B82710D0_13</vt:lpwstr>
  </property>
</Properties>
</file>