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0F93C">
      <w:pPr>
        <w:spacing w:after="0" w:line="240" w:lineRule="auto"/>
        <w:jc w:val="center"/>
        <w:rPr>
          <w:rFonts w:hint="eastAsia" w:ascii="宋体" w:hAnsi="宋体" w:eastAsia="宋体" w:cs="宋体"/>
          <w:b/>
          <w:bCs/>
          <w:sz w:val="44"/>
          <w:szCs w:val="44"/>
          <w:lang w:eastAsia="zh-CN"/>
        </w:rPr>
      </w:pPr>
    </w:p>
    <w:p w14:paraId="296CAD3D">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7F5EE9AA">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w:t>
      </w:r>
    </w:p>
    <w:p w14:paraId="4F39BFAF">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入廊管线施工自控材料采购</w:t>
      </w:r>
    </w:p>
    <w:p w14:paraId="72D480E0">
      <w:pPr>
        <w:pStyle w:val="11"/>
        <w:ind w:left="0" w:leftChars="0" w:firstLine="0" w:firstLineChars="0"/>
        <w:rPr>
          <w:rFonts w:hint="eastAsia" w:ascii="宋体" w:hAnsi="宋体" w:eastAsia="宋体" w:cs="宋体"/>
          <w:b/>
          <w:bCs/>
          <w:sz w:val="44"/>
          <w:szCs w:val="44"/>
          <w:lang w:eastAsia="zh-CN"/>
        </w:rPr>
      </w:pPr>
    </w:p>
    <w:p w14:paraId="7CB3D906">
      <w:pPr>
        <w:pStyle w:val="11"/>
        <w:ind w:firstLine="720"/>
        <w:rPr>
          <w:rFonts w:hint="eastAsia" w:ascii="宋体" w:hAnsi="宋体" w:eastAsia="宋体" w:cs="宋体"/>
          <w:b/>
          <w:bCs/>
          <w:sz w:val="44"/>
          <w:szCs w:val="44"/>
          <w:lang w:eastAsia="zh-CN"/>
        </w:rPr>
      </w:pPr>
    </w:p>
    <w:p w14:paraId="22C70811">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27DE5C62">
      <w:pPr>
        <w:pStyle w:val="11"/>
        <w:ind w:firstLine="720"/>
        <w:rPr>
          <w:rFonts w:ascii="宋体" w:hAnsi="宋体" w:cs="宋体"/>
          <w:b/>
          <w:bCs/>
          <w:sz w:val="36"/>
          <w:szCs w:val="36"/>
          <w:lang w:eastAsia="zh-CN"/>
        </w:rPr>
      </w:pPr>
    </w:p>
    <w:p w14:paraId="54967675">
      <w:pPr>
        <w:pStyle w:val="11"/>
        <w:ind w:firstLine="440"/>
        <w:rPr>
          <w:lang w:eastAsia="zh-CN"/>
        </w:rPr>
      </w:pPr>
    </w:p>
    <w:p w14:paraId="74F9584A">
      <w:pPr>
        <w:pStyle w:val="11"/>
        <w:ind w:firstLine="440"/>
        <w:rPr>
          <w:lang w:eastAsia="zh-CN"/>
        </w:rPr>
      </w:pPr>
    </w:p>
    <w:p w14:paraId="70394EEA">
      <w:pPr>
        <w:pStyle w:val="11"/>
        <w:ind w:firstLine="440"/>
        <w:rPr>
          <w:lang w:eastAsia="zh-CN"/>
        </w:rPr>
      </w:pPr>
    </w:p>
    <w:p w14:paraId="50183A34">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6D26B14D">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177AF55C">
      <w:pPr>
        <w:pStyle w:val="11"/>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六</w:t>
      </w:r>
      <w:r>
        <w:rPr>
          <w:rFonts w:hint="eastAsia" w:ascii="宋体" w:hAnsi="宋体" w:eastAsia="宋体" w:cs="宋体"/>
          <w:b/>
          <w:bCs/>
          <w:sz w:val="44"/>
          <w:szCs w:val="44"/>
          <w:lang w:eastAsia="zh-CN"/>
        </w:rPr>
        <w:t>月</w:t>
      </w:r>
    </w:p>
    <w:p w14:paraId="6B708EB5">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4C75992B">
      <w:pPr>
        <w:spacing w:after="0"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雄安新区高铁站片区配套燃气工程三标段入廊管线施工</w:t>
      </w:r>
    </w:p>
    <w:p w14:paraId="7913E163">
      <w:pPr>
        <w:spacing w:after="0" w:line="360" w:lineRule="auto"/>
        <w:jc w:val="center"/>
        <w:rPr>
          <w:rFonts w:hint="eastAsia"/>
          <w:lang w:eastAsia="zh-CN"/>
        </w:rPr>
      </w:pPr>
      <w:r>
        <w:rPr>
          <w:rFonts w:hint="eastAsia" w:ascii="宋体" w:hAnsi="宋体" w:eastAsia="宋体" w:cs="宋体"/>
          <w:b/>
          <w:bCs/>
          <w:sz w:val="30"/>
          <w:szCs w:val="30"/>
          <w:lang w:val="en-US" w:eastAsia="zh-CN"/>
        </w:rPr>
        <w:t>自控材料采购</w:t>
      </w:r>
    </w:p>
    <w:p w14:paraId="3C253701">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雄安新区高铁站片区配套燃气工程三标段入廊管线施工自控材料采购</w:t>
      </w:r>
      <w:r>
        <w:rPr>
          <w:rFonts w:hint="eastAsia" w:ascii="宋体" w:hAnsi="宋体" w:eastAsia="宋体" w:cs="宋体"/>
          <w:sz w:val="24"/>
          <w:szCs w:val="24"/>
          <w:lang w:eastAsia="zh-CN"/>
        </w:rPr>
        <w:t>进行比价洽谈，特邀请贵公司参与洽谈。该项目具体情况如下：</w:t>
      </w:r>
    </w:p>
    <w:p w14:paraId="53F636B6">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雄安新区高铁站片区配套燃气工程三标段入廊管线施工</w:t>
      </w:r>
    </w:p>
    <w:p w14:paraId="75607437">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8"/>
        <w:tblW w:w="9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783"/>
        <w:gridCol w:w="4987"/>
        <w:gridCol w:w="853"/>
        <w:gridCol w:w="891"/>
        <w:gridCol w:w="844"/>
      </w:tblGrid>
      <w:tr w14:paraId="75D2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0B4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DA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0D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B95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F5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64E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FC6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3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电动阀控制柜</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含开关及附件EXd ⅡT4 面板设置阀门开启关闭按钮及状态指示灯，每控制一个阀门需要设置一套。每台配微型断路器ic65N-3P-C40，配电箱SF-APE及PF-APE备用开关被占用时使用，配电箱内安装，品牌型号同管廊配电箱SF-APE及PF-APE内设备，每台配微型断路器，ic65N-3P-C40，配电箱SF-APE及PF-APE备用开关被占用时使用，配电箱内安装，品牌型号同管廊配电箱SF-APE及PF-APE内设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B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r>
      <w:tr w14:paraId="3878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RTU系统（配1阀门）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0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2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5E1">
            <w:pPr>
              <w:jc w:val="center"/>
              <w:rPr>
                <w:rFonts w:hint="eastAsia" w:ascii="宋体" w:hAnsi="宋体" w:eastAsia="宋体" w:cs="宋体"/>
                <w:i w:val="0"/>
                <w:iCs w:val="0"/>
                <w:color w:val="000000"/>
                <w:sz w:val="22"/>
                <w:szCs w:val="22"/>
                <w:u w:val="none"/>
              </w:rPr>
            </w:pPr>
          </w:p>
        </w:tc>
      </w:tr>
      <w:tr w14:paraId="36DF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D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1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RTU系统（配2阀门）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A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8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9AF4">
            <w:pPr>
              <w:jc w:val="center"/>
              <w:rPr>
                <w:rFonts w:hint="eastAsia" w:ascii="宋体" w:hAnsi="宋体" w:eastAsia="宋体" w:cs="宋体"/>
                <w:i w:val="0"/>
                <w:iCs w:val="0"/>
                <w:color w:val="000000"/>
                <w:sz w:val="22"/>
                <w:szCs w:val="22"/>
                <w:u w:val="none"/>
              </w:rPr>
            </w:pPr>
          </w:p>
        </w:tc>
      </w:tr>
      <w:tr w14:paraId="4D32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0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RTU系统（配3阀门）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FF50">
            <w:pPr>
              <w:jc w:val="center"/>
              <w:rPr>
                <w:rFonts w:hint="eastAsia" w:ascii="宋体" w:hAnsi="宋体" w:eastAsia="宋体" w:cs="宋体"/>
                <w:i w:val="0"/>
                <w:iCs w:val="0"/>
                <w:color w:val="000000"/>
                <w:sz w:val="22"/>
                <w:szCs w:val="22"/>
                <w:u w:val="none"/>
              </w:rPr>
            </w:pPr>
          </w:p>
        </w:tc>
      </w:tr>
      <w:tr w14:paraId="57B4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5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2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4对1000Mbps光纤接口，4个10/100/1000Mpbs自适应以太网端口，电源DC24V输入，支持环网链路冗余，以及多环网间链路冗余自愈，与雄安新区高铁站片区配套燃气已建控制系统兼容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8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14:paraId="5DD4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3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1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6对1000Mbps光纤接口，4个10/100/1000Mpbs自适应以太网端口，电源DC24V输入，支持环网链路冗余，以及多环网间链路冗余自愈，与雄安新区高铁站片区配套燃气已建控制系统兼容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B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14:paraId="0F40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4对1000Mbps光纤接口，8个10/100/1000Mpbs自适应以太网端口，支持环网链路冗余，以及多环网间链路冗余自愈，与雄安新区高铁站片区配套燃气已建管廊同品牌型号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A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14:paraId="6851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F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UPS电源模块</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10A电源，24V，不小于4h，配套免维护型蓄电池</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5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1A42">
            <w:pPr>
              <w:jc w:val="center"/>
              <w:rPr>
                <w:rFonts w:hint="eastAsia" w:ascii="宋体" w:hAnsi="宋体" w:eastAsia="宋体" w:cs="宋体"/>
                <w:i w:val="0"/>
                <w:iCs w:val="0"/>
                <w:color w:val="000000"/>
                <w:sz w:val="22"/>
                <w:szCs w:val="22"/>
                <w:u w:val="none"/>
              </w:rPr>
            </w:pPr>
          </w:p>
        </w:tc>
      </w:tr>
      <w:tr w14:paraId="1D1F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8B2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2B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监控中心通讯箱</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835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含开关及附件IP54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6C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8D1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62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r>
      <w:tr w14:paraId="6286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7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边缘网关</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处理器、3.0GHz及以上，内存8GB及以上（最高支持64GB），存储要求128GB，支持MSATA扩展，以太网支持2路有线10/100/1000M，串口支持2X光电隔离RS232/RS485（可选），USB端口支持2*USB2.0，HDMI支持1920*1200，电器支持常规电器保护，工作温度-20~60℃，软件功能要求：采集协议至少支持Modbus RTU/OPC等协议，具备多数据采集、数据加密（支持国密SM2或SM4等加密算法）、断点续传功能，传输协议至少支持按智慧能源运营平台要求的Mpdbus TCP、MQTT等协议实现数据传输</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0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4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0617">
            <w:pPr>
              <w:jc w:val="center"/>
              <w:rPr>
                <w:rFonts w:hint="eastAsia" w:ascii="宋体" w:hAnsi="宋体" w:eastAsia="宋体" w:cs="宋体"/>
                <w:i w:val="0"/>
                <w:iCs w:val="0"/>
                <w:color w:val="000000"/>
                <w:sz w:val="22"/>
                <w:szCs w:val="22"/>
                <w:u w:val="none"/>
              </w:rPr>
            </w:pPr>
          </w:p>
        </w:tc>
      </w:tr>
    </w:tbl>
    <w:p w14:paraId="6CB4950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sz w:val="24"/>
          <w:szCs w:val="24"/>
          <w:lang w:eastAsia="zh-CN"/>
        </w:rPr>
      </w:pPr>
    </w:p>
    <w:p w14:paraId="160E9C6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4E0FE97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2F581C0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073380C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2AA3166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4.若为代理商提供生产厂家授权书及相关资质。</w:t>
      </w:r>
    </w:p>
    <w:p w14:paraId="088618F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5.近三年类似业绩不少于3个。</w:t>
      </w:r>
    </w:p>
    <w:p w14:paraId="31B062C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187BA02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237CFD0C">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80%，待整个合同订单完成后支付至已交付验收合格货款的97%，剩余3 %作为质保金，产品质量保证期限届满后，如未发生质量问题，买方一次性无息付清质保金。</w:t>
      </w:r>
    </w:p>
    <w:p w14:paraId="3FE3B618">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33F493D5">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725447E4">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724BB1A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7943823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w:t>
      </w:r>
      <w:r>
        <w:rPr>
          <w:rFonts w:hint="eastAsia" w:cs="宋体"/>
          <w:sz w:val="24"/>
          <w:szCs w:val="24"/>
          <w:lang w:val="en-US" w:eastAsia="zh-CN"/>
        </w:rPr>
        <w:t>。</w:t>
      </w:r>
    </w:p>
    <w:p w14:paraId="787FDE2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25</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14:paraId="27A7299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222260F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25</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39591B3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型式检验报告</w:t>
      </w:r>
      <w:r>
        <w:rPr>
          <w:rFonts w:hint="eastAsia" w:ascii="宋体" w:hAnsi="宋体" w:eastAsia="宋体" w:cs="宋体"/>
          <w:sz w:val="24"/>
          <w:szCs w:val="24"/>
          <w:lang w:eastAsia="zh-CN"/>
        </w:rPr>
        <w:t>等，否则，视为卖方所交付产品不符合本合同约定质量标准，买方有权拒收产品。</w:t>
      </w:r>
    </w:p>
    <w:p w14:paraId="34ABB0B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0F9A947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62E7B9D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0030976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钢管</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钢管</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1B73CEC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67CDED7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2C09CF8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要求符合以下标准：</w:t>
      </w:r>
    </w:p>
    <w:p w14:paraId="5BEBEBF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（1）《爆炸危险环境电力装置设计规范》(GB50058-2014)</w:t>
      </w:r>
    </w:p>
    <w:p w14:paraId="3DF85FD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（2）《燃气工程项目规范》(GB 55009-2021)</w:t>
      </w:r>
    </w:p>
    <w:p w14:paraId="0831BAF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（3）《电力工程电缆设计标准》(GB50217-2018)</w:t>
      </w:r>
    </w:p>
    <w:p w14:paraId="14D1B6F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（4）《低压配电设计规范》(GB50054-2011)</w:t>
      </w:r>
    </w:p>
    <w:p w14:paraId="1E5E57C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（5）《城镇燃气设计规范》(GB50028-2006)2020年版</w:t>
      </w:r>
    </w:p>
    <w:p w14:paraId="0F44C6E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（6）《建筑机电工程抗震设计规范》(GB 50981-2014)</w:t>
      </w:r>
    </w:p>
    <w:p w14:paraId="374F360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（7）《城市综合管廊工程技术规范》(GB50838-2015)</w:t>
      </w:r>
    </w:p>
    <w:p w14:paraId="3A07764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（8）《雄安新区高铁站片区配套燃气工程三标段入廊管线自控专业说明》</w:t>
      </w:r>
    </w:p>
    <w:p w14:paraId="5D94A4A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（9）《雄安新区高铁站片区配套燃气工程三标段入廊管线RTU技术规格书》</w:t>
      </w:r>
    </w:p>
    <w:p w14:paraId="4BA99EE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（10） 燃气专业提供的图纸资料</w:t>
      </w:r>
    </w:p>
    <w:p w14:paraId="32CBD5B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进行规格尺寸和外观性能检验，必要时进行全面检验。卖方保证向买方交付的是全新、优质、能够达到本合同规定的技术规范、技术要求的产品。</w:t>
      </w:r>
    </w:p>
    <w:p w14:paraId="7441DC4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2.卖方交付的产品必须符合保障人体健康和人身、财产安全的要求；限期使用的产品，应当在显著位置清晰地标明生产日期和安全使用期限或者失效日期，产品交付时距生产日期不得超过</w:t>
      </w:r>
      <w:r>
        <w:rPr>
          <w:rFonts w:hint="eastAsia" w:cs="宋体"/>
          <w:sz w:val="24"/>
          <w:szCs w:val="24"/>
          <w:u w:val="single"/>
          <w:lang w:val="en-US" w:eastAsia="zh-CN"/>
        </w:rPr>
        <w:t>3</w:t>
      </w:r>
      <w:r>
        <w:rPr>
          <w:rFonts w:hint="eastAsia" w:ascii="宋体" w:hAnsi="宋体" w:eastAsia="宋体" w:cs="宋体"/>
          <w:sz w:val="24"/>
          <w:szCs w:val="24"/>
          <w:lang w:val="en-US" w:eastAsia="zh-CN"/>
        </w:rPr>
        <w:t>个</w:t>
      </w:r>
      <w:r>
        <w:rPr>
          <w:rFonts w:hint="eastAsia" w:cs="宋体"/>
          <w:sz w:val="24"/>
          <w:szCs w:val="24"/>
          <w:lang w:val="en-US" w:eastAsia="zh-CN"/>
        </w:rPr>
        <w:t>月。</w:t>
      </w:r>
    </w:p>
    <w:p w14:paraId="1046769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14:paraId="7E0B1B8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7147138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14:paraId="7F095CE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14:paraId="521FE93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2B38328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0248673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2C047BC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5C7358B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4B94F9A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445CD65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57FCBC4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6.</w:t>
      </w:r>
      <w:r>
        <w:rPr>
          <w:rFonts w:hint="eastAsia" w:ascii="宋体" w:hAnsi="宋体" w:eastAsia="宋体" w:cs="宋体"/>
          <w:b w:val="0"/>
          <w:bCs w:val="0"/>
          <w:sz w:val="24"/>
          <w:szCs w:val="24"/>
          <w:lang w:val="en-US" w:eastAsia="zh-CN"/>
        </w:rPr>
        <w:t>所供材料的技术及质量情况</w:t>
      </w:r>
    </w:p>
    <w:p w14:paraId="6AA484D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.质量保证和售后服务</w:t>
      </w:r>
    </w:p>
    <w:p w14:paraId="52FF7D2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1ABB28D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224945F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月</w:t>
      </w:r>
      <w:r>
        <w:rPr>
          <w:rFonts w:hint="eastAsia"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 xml:space="preserve">2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为</w:t>
      </w:r>
      <w:r>
        <w:rPr>
          <w:rFonts w:hint="eastAsia" w:ascii="宋体" w:hAnsi="宋体" w:cs="宋体"/>
          <w:sz w:val="24"/>
          <w:lang w:val="en-US" w:eastAsia="zh-CN"/>
        </w:rPr>
        <w:t>陕西燃气集团工程有限公司雄安新区高铁站片区配套燃气工程项目部</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5A97135E">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32D64CE0">
      <w:pPr>
        <w:spacing w:after="0" w:line="360" w:lineRule="auto"/>
        <w:ind w:firstLine="480" w:firstLineChars="200"/>
        <w:rPr>
          <w:rFonts w:hint="eastAsia" w:ascii="宋体" w:hAnsi="宋体" w:eastAsia="宋体" w:cs="宋体"/>
          <w:color w:val="auto"/>
          <w:sz w:val="28"/>
          <w:szCs w:val="28"/>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综合评判</w:t>
      </w:r>
      <w:r>
        <w:rPr>
          <w:rFonts w:hint="eastAsia" w:ascii="宋体" w:hAnsi="宋体" w:eastAsia="宋体" w:cs="宋体"/>
          <w:sz w:val="24"/>
          <w:szCs w:val="24"/>
          <w:lang w:eastAsia="zh-CN"/>
        </w:rPr>
        <w:t>确定本项目合作单位。</w:t>
      </w:r>
    </w:p>
    <w:p w14:paraId="44F02937">
      <w:pPr>
        <w:pStyle w:val="5"/>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p>
    <w:p w14:paraId="3A716637">
      <w:pPr>
        <w:numPr>
          <w:ilvl w:val="0"/>
          <w:numId w:val="2"/>
        </w:numPr>
        <w:ind w:left="48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评审方法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77FD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3797BB15">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07B05E3D">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46FE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1DB81930">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0531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46FE7C3B">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18ACD9D9">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51A26CBC">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10632FA8">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6055281">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14:paraId="4B04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0928159B">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34628F45">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0268D9B4">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7BFC109D">
      <w:pPr>
        <w:shd w:val="clear" w:color="auto" w:fill="FFFFFF"/>
        <w:spacing w:line="360" w:lineRule="atLeast"/>
        <w:rPr>
          <w:rFonts w:hint="eastAsia" w:ascii="宋体" w:hAnsi="宋体" w:eastAsia="宋体" w:cs="宋体"/>
          <w:b/>
          <w:bCs/>
          <w:sz w:val="24"/>
          <w:szCs w:val="24"/>
        </w:rPr>
      </w:pPr>
    </w:p>
    <w:p w14:paraId="02A0C4C5">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61DC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641D9F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12C7FAE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2FB20DF5">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0C32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0" w:hRule="atLeast"/>
          <w:jc w:val="right"/>
        </w:trPr>
        <w:tc>
          <w:tcPr>
            <w:tcW w:w="372" w:type="pct"/>
            <w:tcMar>
              <w:top w:w="0" w:type="dxa"/>
              <w:left w:w="108" w:type="dxa"/>
              <w:bottom w:w="0" w:type="dxa"/>
              <w:right w:w="108" w:type="dxa"/>
            </w:tcMar>
            <w:vAlign w:val="center"/>
          </w:tcPr>
          <w:p w14:paraId="31E10879">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6C286FA5">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78A7E0E8">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676C8BF">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1329EC2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5B61075E">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0F2BE7AA">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7B73910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0647F50">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8"/>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5"/>
        <w:gridCol w:w="807"/>
        <w:gridCol w:w="1565"/>
        <w:gridCol w:w="891"/>
        <w:gridCol w:w="5103"/>
      </w:tblGrid>
      <w:tr w14:paraId="76712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CA844">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8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40FD0B">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6C1315">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14:paraId="2B124DC0">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0BA712">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分值</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2471B1">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14:paraId="20443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9" w:hRule="atLeast"/>
          <w:jc w:val="center"/>
        </w:trPr>
        <w:tc>
          <w:tcPr>
            <w:tcW w:w="705" w:type="dxa"/>
            <w:vMerge w:val="restart"/>
            <w:tcBorders>
              <w:top w:val="single" w:color="auto" w:sz="4" w:space="0"/>
              <w:left w:val="single" w:color="auto" w:sz="4" w:space="0"/>
              <w:right w:val="single" w:color="auto" w:sz="4" w:space="0"/>
            </w:tcBorders>
            <w:vAlign w:val="center"/>
          </w:tcPr>
          <w:p w14:paraId="2DF632FF">
            <w:pPr>
              <w:spacing w:line="400" w:lineRule="atLeast"/>
              <w:jc w:val="center"/>
              <w:rPr>
                <w:rFonts w:hint="eastAsia"/>
                <w:lang w:eastAsia="zh-CN"/>
              </w:rPr>
            </w:pPr>
            <w:r>
              <w:rPr>
                <w:rFonts w:hint="eastAsia" w:ascii="宋体" w:hAnsi="宋体" w:eastAsia="宋体" w:cs="宋体"/>
                <w:sz w:val="21"/>
                <w:szCs w:val="21"/>
                <w:lang w:eastAsia="zh-CN"/>
              </w:rPr>
              <w:t>技术</w:t>
            </w:r>
          </w:p>
          <w:p w14:paraId="67083E0E">
            <w:pPr>
              <w:spacing w:line="400" w:lineRule="atLeast"/>
              <w:jc w:val="center"/>
              <w:rPr>
                <w:rFonts w:ascii="宋体" w:hAnsi="宋体" w:eastAsia="宋体" w:cs="宋体"/>
                <w:sz w:val="21"/>
                <w:szCs w:val="21"/>
                <w:highlight w:val="none"/>
              </w:rPr>
            </w:pPr>
            <w:r>
              <w:rPr>
                <w:rFonts w:hint="eastAsia" w:ascii="宋体" w:hAnsi="宋体" w:eastAsia="宋体" w:cs="宋体"/>
                <w:sz w:val="21"/>
                <w:szCs w:val="21"/>
                <w:lang w:eastAsia="zh-CN"/>
              </w:rPr>
              <w:t>部分</w:t>
            </w:r>
          </w:p>
        </w:tc>
        <w:tc>
          <w:tcPr>
            <w:tcW w:w="807" w:type="dxa"/>
            <w:vMerge w:val="restart"/>
            <w:tcBorders>
              <w:top w:val="single" w:color="auto" w:sz="4" w:space="0"/>
              <w:left w:val="single" w:color="auto" w:sz="4" w:space="0"/>
              <w:right w:val="single" w:color="auto" w:sz="4" w:space="0"/>
            </w:tcBorders>
            <w:vAlign w:val="center"/>
          </w:tcPr>
          <w:p w14:paraId="47B46F62">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100分</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FFCF7F">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EB018E">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459D85">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04AB8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705" w:type="dxa"/>
            <w:vMerge w:val="continue"/>
            <w:tcBorders>
              <w:left w:val="single" w:color="auto" w:sz="4" w:space="0"/>
              <w:right w:val="single" w:color="auto" w:sz="4" w:space="0"/>
            </w:tcBorders>
            <w:vAlign w:val="center"/>
          </w:tcPr>
          <w:p w14:paraId="2D104D41">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right w:val="single" w:color="auto" w:sz="4" w:space="0"/>
            </w:tcBorders>
            <w:vAlign w:val="center"/>
          </w:tcPr>
          <w:p w14:paraId="3D0D5A4B">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8F2CFA">
            <w:pPr>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w:t>
            </w:r>
          </w:p>
          <w:p w14:paraId="65E75590">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及实力</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17BDB0">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D0848">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2B941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705" w:type="dxa"/>
            <w:vMerge w:val="continue"/>
            <w:tcBorders>
              <w:left w:val="single" w:color="auto" w:sz="4" w:space="0"/>
              <w:right w:val="single" w:color="auto" w:sz="4" w:space="0"/>
            </w:tcBorders>
            <w:vAlign w:val="center"/>
          </w:tcPr>
          <w:p w14:paraId="01266EE4">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right w:val="single" w:color="auto" w:sz="4" w:space="0"/>
            </w:tcBorders>
            <w:vAlign w:val="center"/>
          </w:tcPr>
          <w:p w14:paraId="4ABA5E63">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D42031">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r>
              <w:rPr>
                <w:rFonts w:hint="eastAsia" w:ascii="宋体" w:hAnsi="宋体" w:eastAsia="宋体" w:cs="宋体"/>
                <w:sz w:val="21"/>
                <w:szCs w:val="21"/>
                <w:highlight w:val="none"/>
                <w:lang w:val="en-US" w:eastAsia="zh-CN"/>
              </w:rPr>
              <w:t>售后服务</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24C6B4">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A10B31">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对各投标人的质量保证及售后承诺进行横向比较，按差别赋分。优得11-20分，一般得1-10分。</w:t>
            </w:r>
          </w:p>
        </w:tc>
      </w:tr>
      <w:tr w14:paraId="4EEFB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3" w:hRule="atLeast"/>
          <w:jc w:val="center"/>
        </w:trPr>
        <w:tc>
          <w:tcPr>
            <w:tcW w:w="705" w:type="dxa"/>
            <w:vMerge w:val="continue"/>
            <w:tcBorders>
              <w:left w:val="single" w:color="auto" w:sz="4" w:space="0"/>
              <w:bottom w:val="single" w:color="auto" w:sz="4" w:space="0"/>
              <w:right w:val="single" w:color="auto" w:sz="4" w:space="0"/>
            </w:tcBorders>
            <w:vAlign w:val="center"/>
          </w:tcPr>
          <w:p w14:paraId="4A9BAF38">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bottom w:val="single" w:color="auto" w:sz="4" w:space="0"/>
              <w:right w:val="single" w:color="auto" w:sz="4" w:space="0"/>
            </w:tcBorders>
            <w:vAlign w:val="center"/>
          </w:tcPr>
          <w:p w14:paraId="14A58EBD">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90144C">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材料的技术及质量情况</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A2D67">
            <w:pPr>
              <w:spacing w:after="0"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B6127E">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对各投标人的材料技术及质量情况内容进行横向比较，按差别赋分。优得11-20分，一般得1-10分。</w:t>
            </w:r>
          </w:p>
        </w:tc>
      </w:tr>
    </w:tbl>
    <w:p w14:paraId="0BE8B381">
      <w:pPr>
        <w:pStyle w:val="5"/>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sz w:val="24"/>
          <w:szCs w:val="24"/>
          <w:lang w:eastAsia="zh-CN"/>
        </w:rPr>
      </w:pPr>
    </w:p>
    <w:p w14:paraId="6D20CAA0">
      <w:pPr>
        <w:pStyle w:val="5"/>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、递交地点及通讯方式</w:t>
      </w:r>
    </w:p>
    <w:p w14:paraId="4CF857C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w:t>
      </w:r>
      <w:r>
        <w:rPr>
          <w:rFonts w:hint="eastAsia" w:ascii="宋体" w:hAnsi="宋体" w:cs="宋体"/>
          <w:sz w:val="24"/>
          <w:lang w:val="en-US" w:eastAsia="zh-CN"/>
        </w:rPr>
        <w:t>陕西燃气集团工程有限公司雄安新区高铁站片区配套燃气工程项目部</w:t>
      </w:r>
    </w:p>
    <w:p w14:paraId="2738A4B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14:paraId="50C3C69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29965CE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sz w:val="24"/>
          <w:szCs w:val="24"/>
          <w:lang w:val="en-US" w:eastAsia="zh-CN" w:bidi="ar-SA"/>
        </w:rPr>
      </w:pPr>
    </w:p>
    <w:p w14:paraId="58A580BD">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076F3518">
      <w:pPr>
        <w:keepNext w:val="0"/>
        <w:keepLines w:val="0"/>
        <w:pageBreakBefore w:val="0"/>
        <w:kinsoku/>
        <w:wordWrap/>
        <w:overflowPunct/>
        <w:topLinePunct w:val="0"/>
        <w:autoSpaceDE/>
        <w:autoSpaceDN/>
        <w:bidi w:val="0"/>
        <w:adjustRightInd/>
        <w:snapToGrid/>
        <w:spacing w:beforeAutospacing="0" w:after="0" w:afterAutospacing="0" w:line="360" w:lineRule="auto"/>
        <w:ind w:firstLine="5520" w:firstLineChars="23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20</w:t>
      </w:r>
      <w:bookmarkStart w:id="2" w:name="_GoBack"/>
      <w:bookmarkEnd w:id="2"/>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5EAC7354">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3AC84A98">
      <w:pPr>
        <w:spacing w:line="600" w:lineRule="auto"/>
        <w:jc w:val="right"/>
        <w:rPr>
          <w:rFonts w:ascii="方正小标宋简体" w:hAnsi="仿宋" w:eastAsia="方正小标宋简体" w:cs="方正小标宋简体"/>
          <w:b/>
          <w:sz w:val="32"/>
          <w:szCs w:val="32"/>
          <w:lang w:eastAsia="zh-CN"/>
        </w:rPr>
      </w:pPr>
    </w:p>
    <w:p w14:paraId="760DC778">
      <w:pPr>
        <w:spacing w:after="0" w:line="48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04CF6C22">
      <w:pPr>
        <w:spacing w:after="0" w:line="48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雄安新区高铁站片区配套燃气工程三标段</w:t>
      </w:r>
    </w:p>
    <w:p w14:paraId="270881D3">
      <w:pPr>
        <w:spacing w:after="0" w:line="48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入廊管线施工自控材料采购</w:t>
      </w:r>
    </w:p>
    <w:p w14:paraId="136895A1">
      <w:pPr>
        <w:spacing w:line="240" w:lineRule="auto"/>
        <w:rPr>
          <w:rFonts w:hint="eastAsia" w:ascii="宋体" w:hAnsi="宋体" w:eastAsia="宋体" w:cs="宋体"/>
          <w:b/>
          <w:sz w:val="44"/>
          <w:szCs w:val="44"/>
          <w:highlight w:val="none"/>
        </w:rPr>
      </w:pPr>
    </w:p>
    <w:p w14:paraId="1B70535D">
      <w:pPr>
        <w:pStyle w:val="11"/>
        <w:rPr>
          <w:rFonts w:hint="eastAsia" w:ascii="宋体" w:hAnsi="宋体" w:eastAsia="宋体" w:cs="宋体"/>
          <w:b/>
          <w:sz w:val="44"/>
          <w:szCs w:val="44"/>
          <w:highlight w:val="none"/>
        </w:rPr>
      </w:pPr>
    </w:p>
    <w:p w14:paraId="07ACE8E9">
      <w:pPr>
        <w:pStyle w:val="11"/>
        <w:rPr>
          <w:rFonts w:hint="eastAsia" w:ascii="宋体" w:hAnsi="宋体" w:eastAsia="宋体" w:cs="宋体"/>
          <w:b/>
          <w:sz w:val="44"/>
          <w:szCs w:val="44"/>
          <w:highlight w:val="none"/>
        </w:rPr>
      </w:pPr>
    </w:p>
    <w:p w14:paraId="12DB9A59">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2656861E">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35CCEB6C">
      <w:pPr>
        <w:pStyle w:val="6"/>
        <w:rPr>
          <w:rFonts w:hint="eastAsia"/>
        </w:rPr>
      </w:pPr>
    </w:p>
    <w:p w14:paraId="30F746C9">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13506CC">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1690064C">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27992389">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1AF8073B">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p w14:paraId="7BD717B1">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7FD0EFB2">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145271BB">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68BCF55A">
      <w:pPr>
        <w:pStyle w:val="11"/>
        <w:spacing w:before="0" w:beforeAutospacing="0" w:after="0" w:afterAutospacing="0" w:line="600" w:lineRule="auto"/>
        <w:ind w:firstLine="0" w:firstLineChars="0"/>
        <w:rPr>
          <w:rFonts w:hint="eastAsia"/>
          <w:b/>
          <w:bCs/>
          <w:sz w:val="32"/>
          <w:szCs w:val="32"/>
          <w:lang w:val="en-US" w:eastAsia="zh-CN"/>
        </w:rPr>
      </w:pPr>
      <w:r>
        <w:rPr>
          <w:rFonts w:hint="eastAsia"/>
          <w:b/>
          <w:bCs/>
          <w:sz w:val="32"/>
          <w:szCs w:val="32"/>
          <w:lang w:val="en-US" w:eastAsia="zh-CN"/>
        </w:rPr>
        <w:t>四、业绩证明材料</w:t>
      </w:r>
    </w:p>
    <w:p w14:paraId="035A49F3">
      <w:pPr>
        <w:pStyle w:val="11"/>
        <w:spacing w:before="0" w:beforeAutospacing="0" w:after="0" w:afterAutospacing="0" w:line="600" w:lineRule="auto"/>
        <w:ind w:firstLine="0" w:firstLineChars="0"/>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7039E11B">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auto"/>
        <w:ind w:left="0" w:leftChars="0" w:firstLine="0" w:firstLineChars="0"/>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六、所供材料配置及技术质量情况</w:t>
      </w:r>
    </w:p>
    <w:p w14:paraId="06974998">
      <w:pPr>
        <w:pStyle w:val="11"/>
        <w:spacing w:before="0" w:beforeAutospacing="0" w:after="0" w:afterAutospacing="0" w:line="600" w:lineRule="auto"/>
        <w:ind w:firstLine="0" w:firstLineChars="0"/>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七、质量保证及售后承诺</w:t>
      </w:r>
    </w:p>
    <w:p w14:paraId="6B2AC759">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5C2A2F04">
      <w:pPr>
        <w:pStyle w:val="4"/>
        <w:spacing w:beforeAutospacing="0" w:after="0" w:afterAutospacing="0" w:line="600" w:lineRule="auto"/>
        <w:ind w:firstLine="0" w:firstLineChars="0"/>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bookmarkEnd w:id="1"/>
    <w:p w14:paraId="35216388">
      <w:pPr>
        <w:pStyle w:val="4"/>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14:paraId="1E1891CB">
      <w:pPr>
        <w:spacing w:after="0"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0800B2FF">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lang w:val="en-US" w:eastAsia="zh-CN"/>
        </w:rPr>
        <w:t>雄安新区高铁站片区配套燃气工程三标段入廊管线施工自控材料采购</w:t>
      </w:r>
      <w:r>
        <w:rPr>
          <w:rFonts w:hint="eastAsia" w:ascii="宋体" w:hAnsi="宋体" w:eastAsia="宋体" w:cs="宋体"/>
          <w:sz w:val="28"/>
          <w:szCs w:val="28"/>
          <w:lang w:eastAsia="zh-CN"/>
        </w:rPr>
        <w:t>事宜，结合市场行情，我方本次材料报价为：</w:t>
      </w:r>
    </w:p>
    <w:tbl>
      <w:tblPr>
        <w:tblStyle w:val="8"/>
        <w:tblW w:w="13862" w:type="dxa"/>
        <w:tblInd w:w="-5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226"/>
        <w:gridCol w:w="5493"/>
        <w:gridCol w:w="788"/>
        <w:gridCol w:w="759"/>
        <w:gridCol w:w="1247"/>
        <w:gridCol w:w="1284"/>
        <w:gridCol w:w="750"/>
        <w:gridCol w:w="1594"/>
      </w:tblGrid>
      <w:tr w14:paraId="2B96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5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9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C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含税合价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1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0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品牌/生产厂家</w:t>
            </w:r>
          </w:p>
        </w:tc>
      </w:tr>
      <w:tr w14:paraId="1DF6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7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电动阀控制柜</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E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含开关及附件EXd ⅡT4 面板设置阀门开启关闭按钮及状态指示灯，每控制一个阀门需要设置一套。每台配微型断路器ic65N-3P-C40，配电箱SF-APE及PF-APE备用开关被占用时使用，配电箱内安装，品牌型号同管廊配电箱SF-APE及PF-APE内设备，每台配微型断路器，ic65N-3P-C40，配电箱SF-APE及PF-APE备用开关被占用时使用，配电箱内安装，品牌型号同管廊配电箱SF-APE及PF-APE内设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0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E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E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B4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3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RTU系统（配1阀门）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A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3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9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7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BD17">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0C92">
            <w:pPr>
              <w:jc w:val="center"/>
              <w:rPr>
                <w:rFonts w:hint="eastAsia" w:ascii="宋体" w:hAnsi="宋体" w:eastAsia="宋体" w:cs="宋体"/>
                <w:i w:val="0"/>
                <w:iCs w:val="0"/>
                <w:color w:val="000000"/>
                <w:sz w:val="22"/>
                <w:szCs w:val="22"/>
                <w:u w:val="none"/>
              </w:rPr>
            </w:pPr>
          </w:p>
        </w:tc>
      </w:tr>
      <w:tr w14:paraId="65FB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2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0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RTU系统（配2阀门）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0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F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2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7041">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736">
            <w:pPr>
              <w:jc w:val="center"/>
              <w:rPr>
                <w:rFonts w:hint="eastAsia" w:ascii="宋体" w:hAnsi="宋体" w:eastAsia="宋体" w:cs="宋体"/>
                <w:i w:val="0"/>
                <w:iCs w:val="0"/>
                <w:color w:val="000000"/>
                <w:sz w:val="22"/>
                <w:szCs w:val="22"/>
                <w:u w:val="none"/>
              </w:rPr>
            </w:pPr>
          </w:p>
        </w:tc>
      </w:tr>
      <w:tr w14:paraId="77C6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2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RTU系统（配3阀门）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5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C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B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217">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192D">
            <w:pPr>
              <w:jc w:val="center"/>
              <w:rPr>
                <w:rFonts w:hint="eastAsia" w:ascii="宋体" w:hAnsi="宋体" w:eastAsia="宋体" w:cs="宋体"/>
                <w:i w:val="0"/>
                <w:iCs w:val="0"/>
                <w:color w:val="000000"/>
                <w:sz w:val="22"/>
                <w:szCs w:val="22"/>
                <w:u w:val="none"/>
              </w:rPr>
            </w:pPr>
          </w:p>
        </w:tc>
      </w:tr>
      <w:tr w14:paraId="080F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4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4对1000Mbps光纤接口，4个10/100/1000Mpbs自适应以太网端口，电源DC24V输入，支持环网链路冗余，以及多环网间链路冗余自愈，与雄安新区高铁站片区配套燃气已建控制系统兼容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B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8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F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C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C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0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6对1000Mbps光纤接口，4个10/100/1000Mpbs自适应以太网端口，电源DC24V输入，支持环网链路冗余，以及多环网间链路冗余自愈，与雄安新区高铁站片区配套燃气已建控制系统兼容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6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6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7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DA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F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4对1000Mbps光纤接口，8个10/100/1000Mpbs自适应以太网端口，支持环网链路冗余，以及多环网间链路冗余自愈，与雄安新区高铁站片区配套燃气已建管廊同品牌型号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4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C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8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8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2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2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UPS电源模块</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10A电源，24V，不小于4h，配套免维护型蓄电池</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B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E7D">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F3C2">
            <w:pPr>
              <w:jc w:val="center"/>
              <w:rPr>
                <w:rFonts w:hint="eastAsia" w:ascii="宋体" w:hAnsi="宋体" w:eastAsia="宋体" w:cs="宋体"/>
                <w:i w:val="0"/>
                <w:iCs w:val="0"/>
                <w:color w:val="000000"/>
                <w:sz w:val="22"/>
                <w:szCs w:val="22"/>
                <w:u w:val="none"/>
              </w:rPr>
            </w:pPr>
          </w:p>
        </w:tc>
      </w:tr>
      <w:tr w14:paraId="1EBE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5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监控中心通讯箱</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含开关及附件IP54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D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F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8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75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9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边缘网关</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9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处理器、3.0GHz及以上，内存8GB及以上（最高支持64GB），存储要求128GB，支持MSATA扩展，以太网支持2路有线10/100/1000M，串口支持2X光电隔离RS232/RS485（可选），USB端口支持2*USB2.0，HDMI支持1920*1200，电器支持常规电器保护，工作温度-20~60℃，软件功能要求：采集协议至少支持Modbus RTU/OPC等协议，具备多数据采集、数据加密（支持国密SM2或SM4等加密算法）、断点续传功能，传输协议至少支持按智慧能源运营平台要求的Mpdbus TCP、MQTT等协议实现数据传输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7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A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A6FB">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933C">
            <w:pPr>
              <w:jc w:val="center"/>
              <w:rPr>
                <w:rFonts w:hint="eastAsia" w:ascii="宋体" w:hAnsi="宋体" w:eastAsia="宋体" w:cs="宋体"/>
                <w:i w:val="0"/>
                <w:iCs w:val="0"/>
                <w:color w:val="000000"/>
                <w:sz w:val="22"/>
                <w:szCs w:val="22"/>
                <w:u w:val="none"/>
              </w:rPr>
            </w:pPr>
          </w:p>
        </w:tc>
      </w:tr>
      <w:tr w14:paraId="7B34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386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9F63">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r>
              <w:rPr>
                <w:rFonts w:hint="eastAsia" w:ascii="宋体" w:hAnsi="宋体" w:eastAsia="宋体" w:cs="宋体"/>
                <w:sz w:val="22"/>
                <w:szCs w:val="22"/>
                <w:lang w:eastAsia="zh-CN"/>
              </w:rPr>
              <w:t>含税总价：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元，人民币大写：</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税率：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税金：</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元，不含税总价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 元。</w:t>
            </w:r>
          </w:p>
        </w:tc>
      </w:tr>
    </w:tbl>
    <w:p w14:paraId="00EF20C1">
      <w:pPr>
        <w:spacing w:after="0" w:line="560" w:lineRule="exact"/>
        <w:ind w:firstLine="560" w:firstLineChars="200"/>
        <w:rPr>
          <w:rFonts w:hint="eastAsia" w:ascii="宋体" w:hAnsi="宋体" w:eastAsia="宋体" w:cs="宋体"/>
          <w:sz w:val="28"/>
          <w:szCs w:val="28"/>
          <w:lang w:eastAsia="zh-CN"/>
        </w:rPr>
        <w:sectPr>
          <w:pgSz w:w="16838" w:h="11906" w:orient="landscape"/>
          <w:pgMar w:top="1587" w:right="2098" w:bottom="1474" w:left="1928" w:header="851" w:footer="992" w:gutter="0"/>
          <w:pgNumType w:fmt="numberInDash" w:start="1"/>
          <w:cols w:space="720" w:num="1"/>
          <w:docGrid w:type="lines" w:linePitch="312" w:charSpace="0"/>
        </w:sectPr>
      </w:pPr>
    </w:p>
    <w:p w14:paraId="4FB7431D">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14:paraId="642FCFDB">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14:paraId="0F3DD7B0">
      <w:pPr>
        <w:tabs>
          <w:tab w:val="left" w:pos="5940"/>
        </w:tabs>
        <w:spacing w:after="0" w:line="560" w:lineRule="exact"/>
        <w:ind w:firstLine="49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3975F37F">
      <w:pPr>
        <w:pStyle w:val="6"/>
        <w:rPr>
          <w:rFonts w:hint="eastAsia" w:ascii="宋体" w:hAnsi="宋体" w:eastAsia="宋体" w:cs="宋体"/>
          <w:sz w:val="28"/>
          <w:szCs w:val="28"/>
          <w:lang w:eastAsia="zh-CN"/>
        </w:rPr>
      </w:pPr>
    </w:p>
    <w:p w14:paraId="6DB6663E">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2777B7D8">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60D1BB53">
      <w:pPr>
        <w:pStyle w:val="11"/>
        <w:spacing w:before="0" w:beforeAutospacing="0" w:after="0" w:afterAutospacing="0" w:line="240" w:lineRule="auto"/>
        <w:ind w:left="0" w:leftChars="0" w:firstLine="5040" w:firstLineChars="1800"/>
        <w:rPr>
          <w:rFonts w:hint="default" w:ascii="宋体" w:hAnsi="宋体" w:eastAsia="宋体" w:cs="宋体"/>
          <w:sz w:val="28"/>
          <w:szCs w:val="28"/>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cs="宋体"/>
          <w:sz w:val="28"/>
          <w:szCs w:val="28"/>
          <w:lang w:val="en-US" w:eastAsia="zh-CN"/>
        </w:rPr>
        <w:t>日期：</w:t>
      </w:r>
    </w:p>
    <w:p w14:paraId="3AEAC177">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08225B53">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雄安新区高铁站片区配套燃气工程三标段入廊管线施工自控材料采购</w:t>
      </w:r>
      <w:r>
        <w:rPr>
          <w:rFonts w:hint="eastAsia" w:ascii="宋体" w:hAnsi="宋体" w:eastAsia="宋体" w:cs="宋体"/>
          <w:sz w:val="28"/>
          <w:szCs w:val="28"/>
          <w:lang w:eastAsia="zh-CN"/>
        </w:rPr>
        <w:t>洽谈报价、签订合同和处理有关事宜，其法律后果由我方承担。</w:t>
      </w:r>
    </w:p>
    <w:p w14:paraId="48D44EAB">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50B09EA3">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5D03FB63">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4D57B37F">
      <w:pPr>
        <w:widowControl w:val="0"/>
        <w:spacing w:after="0" w:line="560" w:lineRule="exact"/>
        <w:jc w:val="both"/>
        <w:rPr>
          <w:rFonts w:hint="eastAsia" w:ascii="宋体" w:hAnsi="宋体" w:eastAsia="宋体" w:cs="宋体"/>
          <w:sz w:val="28"/>
          <w:szCs w:val="28"/>
          <w:lang w:eastAsia="zh-CN"/>
        </w:rPr>
      </w:pPr>
    </w:p>
    <w:p w14:paraId="241135CC">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1AEA0A22">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109BBACD">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2805EF6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7862C479">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BE13640">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2830596E">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6C736B28">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63C4ADA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02871FC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宋体" w:hAnsi="宋体" w:eastAsia="宋体" w:cs="宋体"/>
          <w:sz w:val="28"/>
          <w:szCs w:val="28"/>
          <w:lang w:val="en-US"/>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生产许可证，信用等级认证，三体系管理认证，生产资质及厂家授权委托书等</w:t>
      </w:r>
    </w:p>
    <w:p w14:paraId="198B42B7">
      <w:pPr>
        <w:pStyle w:val="11"/>
        <w:spacing w:after="0" w:line="240" w:lineRule="auto"/>
        <w:ind w:firstLine="0" w:firstLineChars="0"/>
        <w:rPr>
          <w:rFonts w:ascii="仿宋" w:hAnsi="仿宋" w:eastAsia="仿宋" w:cs="宋体"/>
          <w:sz w:val="30"/>
          <w:szCs w:val="30"/>
          <w:lang w:eastAsia="zh-CN"/>
        </w:rPr>
      </w:pPr>
    </w:p>
    <w:p w14:paraId="68EF8451">
      <w:pPr>
        <w:pStyle w:val="11"/>
        <w:spacing w:after="0" w:line="240" w:lineRule="auto"/>
        <w:ind w:firstLine="0" w:firstLineChars="0"/>
        <w:rPr>
          <w:rFonts w:ascii="仿宋" w:hAnsi="仿宋" w:eastAsia="仿宋" w:cs="宋体"/>
          <w:sz w:val="30"/>
          <w:szCs w:val="30"/>
          <w:lang w:eastAsia="zh-CN"/>
        </w:rPr>
      </w:pPr>
    </w:p>
    <w:p w14:paraId="40BEBD87">
      <w:pPr>
        <w:pStyle w:val="11"/>
        <w:spacing w:after="0" w:line="240" w:lineRule="auto"/>
        <w:ind w:firstLine="0" w:firstLineChars="0"/>
        <w:rPr>
          <w:rFonts w:ascii="仿宋" w:hAnsi="仿宋" w:eastAsia="仿宋" w:cs="宋体"/>
          <w:sz w:val="30"/>
          <w:szCs w:val="30"/>
          <w:lang w:eastAsia="zh-CN"/>
        </w:rPr>
      </w:pPr>
    </w:p>
    <w:p w14:paraId="5F8BDEEC">
      <w:pPr>
        <w:pStyle w:val="11"/>
        <w:spacing w:after="0" w:line="240" w:lineRule="auto"/>
        <w:ind w:firstLine="0" w:firstLineChars="0"/>
        <w:rPr>
          <w:rFonts w:ascii="仿宋" w:hAnsi="仿宋" w:eastAsia="仿宋" w:cs="宋体"/>
          <w:sz w:val="30"/>
          <w:szCs w:val="30"/>
          <w:lang w:eastAsia="zh-CN"/>
        </w:rPr>
      </w:pPr>
    </w:p>
    <w:p w14:paraId="5945272E">
      <w:pPr>
        <w:pStyle w:val="11"/>
        <w:spacing w:after="0" w:line="240" w:lineRule="auto"/>
        <w:ind w:firstLine="0" w:firstLineChars="0"/>
        <w:rPr>
          <w:rFonts w:ascii="仿宋" w:hAnsi="仿宋" w:eastAsia="仿宋" w:cs="宋体"/>
          <w:sz w:val="30"/>
          <w:szCs w:val="30"/>
          <w:lang w:eastAsia="zh-CN"/>
        </w:rPr>
      </w:pPr>
    </w:p>
    <w:p w14:paraId="714369FD">
      <w:pPr>
        <w:pStyle w:val="11"/>
        <w:spacing w:after="0" w:line="240" w:lineRule="auto"/>
        <w:ind w:firstLine="0" w:firstLineChars="0"/>
        <w:rPr>
          <w:rFonts w:ascii="仿宋" w:hAnsi="仿宋" w:eastAsia="仿宋" w:cs="宋体"/>
          <w:sz w:val="30"/>
          <w:szCs w:val="30"/>
          <w:lang w:eastAsia="zh-CN"/>
        </w:rPr>
      </w:pPr>
    </w:p>
    <w:p w14:paraId="5D5ABB0E">
      <w:pPr>
        <w:pStyle w:val="11"/>
        <w:spacing w:after="0" w:line="240" w:lineRule="auto"/>
        <w:ind w:firstLine="0" w:firstLineChars="0"/>
        <w:rPr>
          <w:rFonts w:ascii="仿宋" w:hAnsi="仿宋" w:eastAsia="仿宋" w:cs="宋体"/>
          <w:sz w:val="30"/>
          <w:szCs w:val="30"/>
          <w:lang w:eastAsia="zh-CN"/>
        </w:rPr>
      </w:pPr>
    </w:p>
    <w:p w14:paraId="4B9C88B3">
      <w:pPr>
        <w:pStyle w:val="11"/>
        <w:spacing w:after="0" w:line="240" w:lineRule="auto"/>
        <w:ind w:firstLine="0" w:firstLineChars="0"/>
        <w:rPr>
          <w:rFonts w:ascii="仿宋" w:hAnsi="仿宋" w:eastAsia="仿宋" w:cs="宋体"/>
          <w:sz w:val="30"/>
          <w:szCs w:val="30"/>
          <w:lang w:eastAsia="zh-CN"/>
        </w:rPr>
      </w:pPr>
    </w:p>
    <w:p w14:paraId="52875CCE">
      <w:pPr>
        <w:pStyle w:val="11"/>
        <w:spacing w:after="0" w:line="240" w:lineRule="auto"/>
        <w:ind w:firstLine="0" w:firstLineChars="0"/>
        <w:rPr>
          <w:rFonts w:ascii="仿宋" w:hAnsi="仿宋" w:eastAsia="仿宋" w:cs="宋体"/>
          <w:sz w:val="30"/>
          <w:szCs w:val="30"/>
          <w:lang w:eastAsia="zh-CN"/>
        </w:rPr>
      </w:pPr>
    </w:p>
    <w:p w14:paraId="602E066C">
      <w:pPr>
        <w:pStyle w:val="11"/>
        <w:spacing w:after="0" w:line="240" w:lineRule="auto"/>
        <w:ind w:firstLine="0" w:firstLineChars="0"/>
        <w:rPr>
          <w:rFonts w:ascii="仿宋" w:hAnsi="仿宋" w:eastAsia="仿宋" w:cs="宋体"/>
          <w:sz w:val="30"/>
          <w:szCs w:val="30"/>
          <w:lang w:eastAsia="zh-CN"/>
        </w:rPr>
      </w:pPr>
    </w:p>
    <w:p w14:paraId="3C38D300">
      <w:pPr>
        <w:pStyle w:val="11"/>
        <w:spacing w:after="0" w:line="240" w:lineRule="auto"/>
        <w:ind w:firstLine="0" w:firstLineChars="0"/>
        <w:jc w:val="both"/>
        <w:rPr>
          <w:rFonts w:hint="eastAsia" w:ascii="宋体" w:hAnsi="宋体" w:eastAsia="宋体" w:cs="宋体"/>
          <w:b/>
          <w:bCs/>
          <w:sz w:val="30"/>
          <w:szCs w:val="30"/>
          <w:lang w:val="en-US" w:eastAsia="zh-CN"/>
        </w:rPr>
      </w:pPr>
    </w:p>
    <w:p w14:paraId="055546CD">
      <w:pPr>
        <w:pStyle w:val="11"/>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6AA2B428">
      <w:pPr>
        <w:pStyle w:val="11"/>
        <w:ind w:firstLine="0" w:firstLineChars="0"/>
        <w:jc w:val="center"/>
        <w:rPr>
          <w:rFonts w:ascii="仿宋" w:hAnsi="仿宋" w:eastAsia="仿宋" w:cs="宋体"/>
          <w:sz w:val="32"/>
          <w:szCs w:val="32"/>
          <w:lang w:eastAsia="zh-CN"/>
        </w:rPr>
      </w:pPr>
    </w:p>
    <w:p w14:paraId="5EE4DFA6">
      <w:pPr>
        <w:pStyle w:val="11"/>
        <w:ind w:firstLine="0" w:firstLineChars="0"/>
        <w:jc w:val="center"/>
        <w:rPr>
          <w:rFonts w:ascii="仿宋" w:hAnsi="仿宋" w:eastAsia="仿宋" w:cs="宋体"/>
          <w:sz w:val="32"/>
          <w:szCs w:val="32"/>
          <w:lang w:eastAsia="zh-CN"/>
        </w:rPr>
      </w:pPr>
    </w:p>
    <w:p w14:paraId="02C12D24">
      <w:pPr>
        <w:pStyle w:val="11"/>
        <w:ind w:firstLine="0" w:firstLineChars="0"/>
        <w:jc w:val="center"/>
        <w:rPr>
          <w:rFonts w:ascii="仿宋" w:hAnsi="仿宋" w:eastAsia="仿宋" w:cs="宋体"/>
          <w:sz w:val="32"/>
          <w:szCs w:val="32"/>
          <w:lang w:eastAsia="zh-CN"/>
        </w:rPr>
      </w:pPr>
    </w:p>
    <w:p w14:paraId="17771C09">
      <w:pPr>
        <w:pStyle w:val="11"/>
        <w:ind w:firstLine="0" w:firstLineChars="0"/>
        <w:jc w:val="center"/>
        <w:rPr>
          <w:rFonts w:ascii="仿宋" w:hAnsi="仿宋" w:eastAsia="仿宋" w:cs="宋体"/>
          <w:sz w:val="32"/>
          <w:szCs w:val="32"/>
          <w:lang w:eastAsia="zh-CN"/>
        </w:rPr>
      </w:pPr>
    </w:p>
    <w:p w14:paraId="42811067">
      <w:pPr>
        <w:pStyle w:val="11"/>
        <w:ind w:firstLine="0" w:firstLineChars="0"/>
        <w:jc w:val="center"/>
        <w:rPr>
          <w:rFonts w:ascii="仿宋" w:hAnsi="仿宋" w:eastAsia="仿宋" w:cs="宋体"/>
          <w:sz w:val="32"/>
          <w:szCs w:val="32"/>
          <w:lang w:eastAsia="zh-CN"/>
        </w:rPr>
      </w:pPr>
    </w:p>
    <w:p w14:paraId="19E90586">
      <w:pPr>
        <w:pStyle w:val="11"/>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6BF64F95">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4FEA7A64">
      <w:pPr>
        <w:pStyle w:val="13"/>
        <w:spacing w:after="0" w:line="560" w:lineRule="exact"/>
        <w:jc w:val="center"/>
        <w:rPr>
          <w:rFonts w:hint="eastAsia" w:ascii="仿宋" w:hAnsi="仿宋" w:eastAsia="仿宋" w:cs="仿宋"/>
          <w:b/>
          <w:bCs/>
          <w:kern w:val="2"/>
          <w:sz w:val="44"/>
          <w:szCs w:val="44"/>
          <w:lang w:eastAsia="zh-CN"/>
        </w:rPr>
      </w:pPr>
    </w:p>
    <w:p w14:paraId="392A023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2EF1E942">
      <w:pPr>
        <w:pStyle w:val="11"/>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572F5560">
      <w:pPr>
        <w:pStyle w:val="13"/>
        <w:spacing w:after="0" w:line="560" w:lineRule="exact"/>
        <w:jc w:val="center"/>
        <w:rPr>
          <w:rFonts w:hint="eastAsia" w:ascii="仿宋" w:hAnsi="仿宋" w:eastAsia="仿宋" w:cs="仿宋"/>
          <w:b/>
          <w:bCs/>
          <w:kern w:val="2"/>
          <w:sz w:val="28"/>
          <w:szCs w:val="28"/>
          <w:lang w:eastAsia="zh-CN"/>
        </w:rPr>
      </w:pPr>
    </w:p>
    <w:p w14:paraId="0CDBEB60">
      <w:pPr>
        <w:pStyle w:val="13"/>
        <w:spacing w:after="0" w:line="560" w:lineRule="exact"/>
        <w:jc w:val="center"/>
        <w:rPr>
          <w:rFonts w:hint="eastAsia" w:ascii="仿宋" w:hAnsi="仿宋" w:eastAsia="仿宋" w:cs="仿宋"/>
          <w:b/>
          <w:bCs/>
          <w:kern w:val="2"/>
          <w:sz w:val="44"/>
          <w:szCs w:val="44"/>
          <w:lang w:eastAsia="zh-CN"/>
        </w:rPr>
      </w:pPr>
    </w:p>
    <w:p w14:paraId="650DC157">
      <w:pPr>
        <w:pStyle w:val="13"/>
        <w:spacing w:after="0" w:line="560" w:lineRule="exact"/>
        <w:jc w:val="center"/>
        <w:rPr>
          <w:rFonts w:hint="eastAsia" w:ascii="仿宋" w:hAnsi="仿宋" w:eastAsia="仿宋" w:cs="仿宋"/>
          <w:b/>
          <w:bCs/>
          <w:kern w:val="2"/>
          <w:sz w:val="44"/>
          <w:szCs w:val="44"/>
          <w:lang w:eastAsia="zh-CN"/>
        </w:rPr>
      </w:pPr>
    </w:p>
    <w:p w14:paraId="52740785">
      <w:pPr>
        <w:pStyle w:val="13"/>
        <w:spacing w:after="0" w:line="560" w:lineRule="exact"/>
        <w:jc w:val="center"/>
        <w:rPr>
          <w:rFonts w:hint="eastAsia" w:ascii="仿宋" w:hAnsi="仿宋" w:eastAsia="仿宋" w:cs="仿宋"/>
          <w:b/>
          <w:bCs/>
          <w:kern w:val="2"/>
          <w:sz w:val="44"/>
          <w:szCs w:val="44"/>
          <w:lang w:eastAsia="zh-CN"/>
        </w:rPr>
      </w:pPr>
    </w:p>
    <w:p w14:paraId="7F4A3C48">
      <w:pPr>
        <w:pStyle w:val="13"/>
        <w:spacing w:after="0" w:line="560" w:lineRule="exact"/>
        <w:jc w:val="center"/>
        <w:rPr>
          <w:rFonts w:hint="eastAsia" w:ascii="仿宋" w:hAnsi="仿宋" w:eastAsia="仿宋" w:cs="仿宋"/>
          <w:b/>
          <w:bCs/>
          <w:kern w:val="2"/>
          <w:sz w:val="44"/>
          <w:szCs w:val="44"/>
          <w:lang w:eastAsia="zh-CN"/>
        </w:rPr>
      </w:pPr>
    </w:p>
    <w:p w14:paraId="36C66AEA">
      <w:pPr>
        <w:pStyle w:val="13"/>
        <w:spacing w:after="0" w:line="560" w:lineRule="exact"/>
        <w:jc w:val="center"/>
        <w:rPr>
          <w:rFonts w:hint="eastAsia" w:ascii="仿宋" w:hAnsi="仿宋" w:eastAsia="仿宋" w:cs="仿宋"/>
          <w:b/>
          <w:bCs/>
          <w:kern w:val="2"/>
          <w:sz w:val="44"/>
          <w:szCs w:val="44"/>
          <w:lang w:eastAsia="zh-CN"/>
        </w:rPr>
      </w:pPr>
    </w:p>
    <w:p w14:paraId="2FB405FF">
      <w:pPr>
        <w:pStyle w:val="13"/>
        <w:spacing w:after="0" w:line="560" w:lineRule="exact"/>
        <w:jc w:val="center"/>
        <w:rPr>
          <w:rFonts w:hint="eastAsia" w:ascii="仿宋" w:hAnsi="仿宋" w:eastAsia="仿宋" w:cs="仿宋"/>
          <w:b/>
          <w:bCs/>
          <w:kern w:val="2"/>
          <w:sz w:val="44"/>
          <w:szCs w:val="44"/>
          <w:lang w:eastAsia="zh-CN"/>
        </w:rPr>
      </w:pPr>
    </w:p>
    <w:p w14:paraId="0B6A5F1D">
      <w:pPr>
        <w:pStyle w:val="13"/>
        <w:spacing w:after="0" w:line="560" w:lineRule="exact"/>
        <w:jc w:val="center"/>
        <w:rPr>
          <w:rFonts w:hint="eastAsia" w:ascii="仿宋" w:hAnsi="仿宋" w:eastAsia="仿宋" w:cs="仿宋"/>
          <w:b/>
          <w:bCs/>
          <w:kern w:val="2"/>
          <w:sz w:val="44"/>
          <w:szCs w:val="44"/>
          <w:lang w:eastAsia="zh-CN"/>
        </w:rPr>
      </w:pPr>
    </w:p>
    <w:p w14:paraId="05070A52">
      <w:pPr>
        <w:pStyle w:val="13"/>
        <w:spacing w:after="0" w:line="560" w:lineRule="exact"/>
        <w:jc w:val="center"/>
        <w:rPr>
          <w:rFonts w:hint="eastAsia" w:ascii="仿宋" w:hAnsi="仿宋" w:eastAsia="仿宋" w:cs="仿宋"/>
          <w:b/>
          <w:bCs/>
          <w:kern w:val="2"/>
          <w:sz w:val="44"/>
          <w:szCs w:val="44"/>
          <w:lang w:eastAsia="zh-CN"/>
        </w:rPr>
      </w:pPr>
    </w:p>
    <w:p w14:paraId="33D7F37C">
      <w:pPr>
        <w:pStyle w:val="13"/>
        <w:spacing w:after="0" w:line="560" w:lineRule="exact"/>
        <w:jc w:val="center"/>
        <w:rPr>
          <w:rFonts w:hint="eastAsia" w:ascii="仿宋" w:hAnsi="仿宋" w:eastAsia="仿宋" w:cs="仿宋"/>
          <w:b/>
          <w:bCs/>
          <w:kern w:val="2"/>
          <w:sz w:val="44"/>
          <w:szCs w:val="44"/>
          <w:lang w:eastAsia="zh-CN"/>
        </w:rPr>
      </w:pPr>
    </w:p>
    <w:p w14:paraId="1650539F">
      <w:pPr>
        <w:pStyle w:val="13"/>
        <w:spacing w:after="0" w:line="560" w:lineRule="exact"/>
        <w:jc w:val="center"/>
        <w:rPr>
          <w:rFonts w:hint="eastAsia" w:ascii="仿宋" w:hAnsi="仿宋" w:eastAsia="仿宋" w:cs="仿宋"/>
          <w:b/>
          <w:bCs/>
          <w:kern w:val="2"/>
          <w:sz w:val="44"/>
          <w:szCs w:val="44"/>
          <w:lang w:eastAsia="zh-CN"/>
        </w:rPr>
      </w:pPr>
    </w:p>
    <w:p w14:paraId="5DC1B279">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2BAACF97">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auto"/>
        <w:ind w:left="0" w:leftChars="0" w:firstLine="0" w:firstLineChars="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六、所供材料的配置及技术质量情况</w:t>
      </w:r>
    </w:p>
    <w:p w14:paraId="2D9239BE">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116CAC23">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1BEED14D">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0F56B7BB">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38DA09A1">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5313F9A9">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4204BA34">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2DA1F277">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55F72582">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2240CA2A">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58AC60A7">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6D7F77F0">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372683AA">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20A13259">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2F8BB8F7">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14:paraId="4CF57B49">
      <w:pPr>
        <w:pStyle w:val="11"/>
        <w:numPr>
          <w:ilvl w:val="0"/>
          <w:numId w:val="0"/>
        </w:numPr>
        <w:jc w:val="center"/>
        <w:rPr>
          <w:rFonts w:hint="default" w:cs="宋体"/>
          <w:b/>
          <w:bCs/>
          <w:spacing w:val="4"/>
          <w:sz w:val="32"/>
          <w:szCs w:val="32"/>
          <w:lang w:val="en-US" w:eastAsia="zh-CN"/>
        </w:rPr>
      </w:pPr>
      <w:r>
        <w:rPr>
          <w:rFonts w:hint="eastAsia" w:cs="宋体"/>
          <w:b/>
          <w:bCs/>
          <w:spacing w:val="4"/>
          <w:sz w:val="32"/>
          <w:szCs w:val="32"/>
          <w:lang w:val="en-US" w:eastAsia="zh-CN"/>
        </w:rPr>
        <w:t>七、质量保证及售后承诺</w:t>
      </w:r>
    </w:p>
    <w:p w14:paraId="74754050">
      <w:pPr>
        <w:pStyle w:val="11"/>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eastAsia="zh-CN"/>
        </w:rPr>
        <w:t>、</w:t>
      </w:r>
      <w:r>
        <w:rPr>
          <w:rFonts w:hint="eastAsia" w:cs="宋体"/>
          <w:sz w:val="28"/>
          <w:szCs w:val="28"/>
          <w:lang w:val="en-US" w:eastAsia="zh-CN"/>
        </w:rPr>
        <w:t>售后承诺等内容</w:t>
      </w:r>
    </w:p>
    <w:p w14:paraId="773CD875">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20F287CC">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295D4E98">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58AD74E6">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014BBA33">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5487CD05">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2F3A925A">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2D43517F">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3F628C5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20AF5962">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62EABD37">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61AC0991">
      <w:pPr>
        <w:pStyle w:val="11"/>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7B64B0F6">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BDCEAB5">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14:paraId="17B41D29">
      <w:pPr>
        <w:pStyle w:val="13"/>
        <w:spacing w:after="0" w:line="560" w:lineRule="exact"/>
        <w:jc w:val="center"/>
        <w:rPr>
          <w:rFonts w:hint="eastAsia" w:ascii="宋体" w:hAnsi="宋体" w:eastAsia="宋体" w:cs="宋体"/>
          <w:b/>
          <w:bCs/>
          <w:kern w:val="2"/>
          <w:sz w:val="30"/>
          <w:szCs w:val="30"/>
          <w:u w:val="none"/>
          <w:lang w:val="en-US" w:eastAsia="zh-CN"/>
        </w:rPr>
      </w:pPr>
      <w:r>
        <w:rPr>
          <w:rFonts w:hint="eastAsia" w:ascii="宋体" w:hAnsi="宋体" w:eastAsia="宋体" w:cs="宋体"/>
          <w:b/>
          <w:bCs/>
          <w:kern w:val="2"/>
          <w:sz w:val="30"/>
          <w:szCs w:val="30"/>
          <w:u w:val="none"/>
          <w:lang w:val="en-US" w:eastAsia="zh-CN"/>
        </w:rPr>
        <w:t>雄安新区高铁站片区配套燃气工程三标段入廊管线施工</w:t>
      </w:r>
    </w:p>
    <w:p w14:paraId="50B3BB76">
      <w:pPr>
        <w:pStyle w:val="13"/>
        <w:spacing w:after="0" w:line="560" w:lineRule="exact"/>
        <w:jc w:val="center"/>
        <w:rPr>
          <w:rFonts w:ascii="仿宋" w:hAnsi="仿宋" w:eastAsia="仿宋"/>
          <w:sz w:val="30"/>
          <w:szCs w:val="30"/>
          <w:lang w:eastAsia="zh-CN"/>
        </w:rPr>
      </w:pPr>
      <w:r>
        <w:rPr>
          <w:rFonts w:hint="eastAsia" w:ascii="宋体" w:hAnsi="宋体" w:eastAsia="宋体" w:cs="宋体"/>
          <w:b/>
          <w:bCs/>
          <w:kern w:val="2"/>
          <w:sz w:val="30"/>
          <w:szCs w:val="30"/>
          <w:u w:val="none"/>
          <w:lang w:val="en-US" w:eastAsia="zh-CN"/>
        </w:rPr>
        <w:t>自控材料采购</w:t>
      </w:r>
      <w:r>
        <w:rPr>
          <w:rFonts w:hint="eastAsia" w:ascii="宋体" w:hAnsi="宋体" w:eastAsia="宋体" w:cs="宋体"/>
          <w:b/>
          <w:bCs/>
          <w:kern w:val="2"/>
          <w:sz w:val="30"/>
          <w:szCs w:val="30"/>
          <w:lang w:eastAsia="zh-CN"/>
        </w:rPr>
        <w:t>邀请函回执</w:t>
      </w:r>
    </w:p>
    <w:p w14:paraId="6EA97284">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雄安新区高铁站片区配套燃气工程三标段入廊管线施工自控材料采购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1DB35837">
      <w:pPr>
        <w:tabs>
          <w:tab w:val="left" w:pos="6600"/>
        </w:tabs>
        <w:snapToGrid w:val="0"/>
        <w:spacing w:line="580" w:lineRule="exact"/>
        <w:textAlignment w:val="bottom"/>
        <w:rPr>
          <w:rFonts w:hint="eastAsia" w:ascii="宋体" w:hAnsi="宋体" w:eastAsia="宋体" w:cs="宋体"/>
          <w:sz w:val="28"/>
          <w:szCs w:val="28"/>
          <w:lang w:eastAsia="zh-CN"/>
        </w:rPr>
      </w:pPr>
    </w:p>
    <w:p w14:paraId="1A7DAEFA">
      <w:pPr>
        <w:tabs>
          <w:tab w:val="left" w:pos="6600"/>
        </w:tabs>
        <w:snapToGrid w:val="0"/>
        <w:spacing w:line="580" w:lineRule="exact"/>
        <w:textAlignment w:val="bottom"/>
        <w:rPr>
          <w:rFonts w:hint="eastAsia" w:ascii="宋体" w:hAnsi="宋体" w:eastAsia="宋体" w:cs="宋体"/>
          <w:sz w:val="28"/>
          <w:szCs w:val="28"/>
          <w:lang w:eastAsia="zh-CN"/>
        </w:rPr>
      </w:pPr>
    </w:p>
    <w:p w14:paraId="07AB1F81">
      <w:pPr>
        <w:pStyle w:val="14"/>
        <w:snapToGrid w:val="0"/>
        <w:spacing w:line="360" w:lineRule="auto"/>
        <w:jc w:val="right"/>
        <w:rPr>
          <w:rFonts w:hint="eastAsia" w:ascii="宋体" w:hAnsi="宋体" w:eastAsia="宋体" w:cs="宋体"/>
          <w:kern w:val="2"/>
          <w:sz w:val="28"/>
          <w:szCs w:val="28"/>
          <w:lang w:eastAsia="zh-CN"/>
        </w:rPr>
      </w:pPr>
    </w:p>
    <w:p w14:paraId="2806CC93">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7ED9A8C6">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06022823">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534AAEBC">
      <w:pPr>
        <w:pStyle w:val="11"/>
        <w:rPr>
          <w:rFonts w:hint="eastAsia" w:ascii="仿宋" w:hAnsi="仿宋" w:eastAsia="仿宋" w:cs="仿宋"/>
          <w:sz w:val="32"/>
          <w:szCs w:val="32"/>
          <w:lang w:eastAsia="zh-CN"/>
        </w:rPr>
      </w:pPr>
    </w:p>
    <w:p w14:paraId="59727483">
      <w:pPr>
        <w:pStyle w:val="11"/>
        <w:rPr>
          <w:rFonts w:hint="eastAsia" w:ascii="仿宋" w:hAnsi="仿宋" w:eastAsia="仿宋" w:cs="仿宋"/>
          <w:sz w:val="32"/>
          <w:szCs w:val="32"/>
          <w:lang w:eastAsia="zh-CN"/>
        </w:rPr>
      </w:pPr>
    </w:p>
    <w:p w14:paraId="75025CEF">
      <w:pPr>
        <w:pStyle w:val="11"/>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36DEEF25-5996-4B87-AB75-BCC7B79E3425}"/>
  </w:font>
  <w:font w:name="方正小标宋简体">
    <w:panose1 w:val="02000000000000000000"/>
    <w:charset w:val="86"/>
    <w:family w:val="script"/>
    <w:pitch w:val="default"/>
    <w:sig w:usb0="00000001" w:usb1="08000000" w:usb2="00000000" w:usb3="00000000" w:csb0="00040000" w:csb1="00000000"/>
    <w:embedRegular r:id="rId2" w:fontKey="{73D0490E-F83A-4DE9-AE08-8E5C27DA9784}"/>
  </w:font>
  <w:font w:name="仿宋_GB2312">
    <w:panose1 w:val="02010609030101010101"/>
    <w:charset w:val="86"/>
    <w:family w:val="modern"/>
    <w:pitch w:val="default"/>
    <w:sig w:usb0="00000001" w:usb1="080E0000" w:usb2="00000000" w:usb3="00000000" w:csb0="00040000" w:csb1="00000000"/>
    <w:embedRegular r:id="rId3" w:fontKey="{F68A4ECC-5DBA-4133-AC81-3769FFF94D76}"/>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146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6BED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C16BED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1CB0"/>
    <w:multiLevelType w:val="singleLevel"/>
    <w:tmpl w:val="89DA1CB0"/>
    <w:lvl w:ilvl="0" w:tentative="0">
      <w:start w:val="10"/>
      <w:numFmt w:val="chineseCounting"/>
      <w:suff w:val="nothing"/>
      <w:lvlText w:val="%1、"/>
      <w:lvlJc w:val="left"/>
      <w:pPr>
        <w:ind w:left="480" w:leftChars="0" w:firstLine="0" w:firstLineChars="0"/>
      </w:pPr>
      <w:rPr>
        <w:rFonts w:hint="eastAsia"/>
        <w:sz w:val="22"/>
        <w:szCs w:val="22"/>
      </w:rPr>
    </w:lvl>
  </w:abstractNum>
  <w:abstractNum w:abstractNumId="1">
    <w:nsid w:val="51D23758"/>
    <w:multiLevelType w:val="singleLevel"/>
    <w:tmpl w:val="51D237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2A4BEA"/>
    <w:rsid w:val="012E35E1"/>
    <w:rsid w:val="01582EDA"/>
    <w:rsid w:val="02A52CE4"/>
    <w:rsid w:val="02A82B14"/>
    <w:rsid w:val="04096BB5"/>
    <w:rsid w:val="048A336F"/>
    <w:rsid w:val="066257E3"/>
    <w:rsid w:val="074C2E3E"/>
    <w:rsid w:val="09167A09"/>
    <w:rsid w:val="096F6F13"/>
    <w:rsid w:val="09CD50AC"/>
    <w:rsid w:val="0A28787C"/>
    <w:rsid w:val="0AF671E5"/>
    <w:rsid w:val="0CAB0A08"/>
    <w:rsid w:val="0CE147DD"/>
    <w:rsid w:val="0D7511DD"/>
    <w:rsid w:val="0DA40995"/>
    <w:rsid w:val="0DBA2AFB"/>
    <w:rsid w:val="0E245290"/>
    <w:rsid w:val="0F156E68"/>
    <w:rsid w:val="0F15790C"/>
    <w:rsid w:val="104E4BFF"/>
    <w:rsid w:val="10F54849"/>
    <w:rsid w:val="11185ADB"/>
    <w:rsid w:val="11BA78F2"/>
    <w:rsid w:val="11E17B4D"/>
    <w:rsid w:val="12CB6877"/>
    <w:rsid w:val="13C62793"/>
    <w:rsid w:val="14556024"/>
    <w:rsid w:val="14E9383B"/>
    <w:rsid w:val="14F10DCA"/>
    <w:rsid w:val="15155F49"/>
    <w:rsid w:val="15763D45"/>
    <w:rsid w:val="15F51C7C"/>
    <w:rsid w:val="16096431"/>
    <w:rsid w:val="164A2ED9"/>
    <w:rsid w:val="16FC55FB"/>
    <w:rsid w:val="18354B4A"/>
    <w:rsid w:val="193849FF"/>
    <w:rsid w:val="19657FEE"/>
    <w:rsid w:val="199B6ABC"/>
    <w:rsid w:val="19BD4074"/>
    <w:rsid w:val="1A585160"/>
    <w:rsid w:val="1B2267AF"/>
    <w:rsid w:val="1B475C0B"/>
    <w:rsid w:val="1BB4328A"/>
    <w:rsid w:val="1BE861A8"/>
    <w:rsid w:val="1C4D0773"/>
    <w:rsid w:val="1CA47198"/>
    <w:rsid w:val="1CCC6333"/>
    <w:rsid w:val="1CE8358F"/>
    <w:rsid w:val="1D1D5D41"/>
    <w:rsid w:val="1DB527B9"/>
    <w:rsid w:val="1E5B085C"/>
    <w:rsid w:val="1E7E18F2"/>
    <w:rsid w:val="1F2C0027"/>
    <w:rsid w:val="1FBA5101"/>
    <w:rsid w:val="1FFC30DB"/>
    <w:rsid w:val="21174FAA"/>
    <w:rsid w:val="234A50D7"/>
    <w:rsid w:val="23664461"/>
    <w:rsid w:val="23BC2637"/>
    <w:rsid w:val="23C41E36"/>
    <w:rsid w:val="247E195A"/>
    <w:rsid w:val="24A27871"/>
    <w:rsid w:val="24BE56E9"/>
    <w:rsid w:val="256E1685"/>
    <w:rsid w:val="25781C45"/>
    <w:rsid w:val="257B0969"/>
    <w:rsid w:val="25C21DB8"/>
    <w:rsid w:val="26125028"/>
    <w:rsid w:val="276918C6"/>
    <w:rsid w:val="27F258DB"/>
    <w:rsid w:val="2880007B"/>
    <w:rsid w:val="290972AD"/>
    <w:rsid w:val="2A9B4E10"/>
    <w:rsid w:val="2AEE087F"/>
    <w:rsid w:val="2B1725AC"/>
    <w:rsid w:val="2B345BED"/>
    <w:rsid w:val="2D875248"/>
    <w:rsid w:val="2D997769"/>
    <w:rsid w:val="2E946D62"/>
    <w:rsid w:val="2F2B2473"/>
    <w:rsid w:val="2FF809D2"/>
    <w:rsid w:val="30411579"/>
    <w:rsid w:val="309F1F4A"/>
    <w:rsid w:val="316F7963"/>
    <w:rsid w:val="319A1CF2"/>
    <w:rsid w:val="32B40BE5"/>
    <w:rsid w:val="32B41802"/>
    <w:rsid w:val="32C61B4E"/>
    <w:rsid w:val="32CC65BE"/>
    <w:rsid w:val="33043940"/>
    <w:rsid w:val="335F4685"/>
    <w:rsid w:val="33755D3A"/>
    <w:rsid w:val="34401C96"/>
    <w:rsid w:val="34677690"/>
    <w:rsid w:val="34E83120"/>
    <w:rsid w:val="35222E0B"/>
    <w:rsid w:val="362A6776"/>
    <w:rsid w:val="36C35D81"/>
    <w:rsid w:val="36E7352C"/>
    <w:rsid w:val="3728289B"/>
    <w:rsid w:val="37712166"/>
    <w:rsid w:val="37C95731"/>
    <w:rsid w:val="37DF43DC"/>
    <w:rsid w:val="37E233E5"/>
    <w:rsid w:val="380839E7"/>
    <w:rsid w:val="387F6456"/>
    <w:rsid w:val="39745F39"/>
    <w:rsid w:val="397A71DD"/>
    <w:rsid w:val="3A9B27FD"/>
    <w:rsid w:val="3B3233CB"/>
    <w:rsid w:val="3B4762F0"/>
    <w:rsid w:val="3C2B5751"/>
    <w:rsid w:val="3C872C34"/>
    <w:rsid w:val="3CEA6666"/>
    <w:rsid w:val="3D034BD5"/>
    <w:rsid w:val="3E1A5306"/>
    <w:rsid w:val="3F1F6AC9"/>
    <w:rsid w:val="404F31A3"/>
    <w:rsid w:val="40E87C4F"/>
    <w:rsid w:val="41B63491"/>
    <w:rsid w:val="42B453F4"/>
    <w:rsid w:val="43633D42"/>
    <w:rsid w:val="46640586"/>
    <w:rsid w:val="47D44B35"/>
    <w:rsid w:val="480D367D"/>
    <w:rsid w:val="482214C6"/>
    <w:rsid w:val="4843485D"/>
    <w:rsid w:val="498A5FF8"/>
    <w:rsid w:val="49A01D06"/>
    <w:rsid w:val="49A67E55"/>
    <w:rsid w:val="4B010948"/>
    <w:rsid w:val="4BED65A8"/>
    <w:rsid w:val="4C3F4944"/>
    <w:rsid w:val="4C852ADB"/>
    <w:rsid w:val="4D636CDE"/>
    <w:rsid w:val="4DDD75ED"/>
    <w:rsid w:val="4EEC1F3B"/>
    <w:rsid w:val="4FD756FD"/>
    <w:rsid w:val="502C1836"/>
    <w:rsid w:val="50347C45"/>
    <w:rsid w:val="508150DA"/>
    <w:rsid w:val="509F2210"/>
    <w:rsid w:val="51275839"/>
    <w:rsid w:val="526145A9"/>
    <w:rsid w:val="53713144"/>
    <w:rsid w:val="53897F32"/>
    <w:rsid w:val="539D5188"/>
    <w:rsid w:val="53C57D13"/>
    <w:rsid w:val="53F738B8"/>
    <w:rsid w:val="54505395"/>
    <w:rsid w:val="55B23BFF"/>
    <w:rsid w:val="55B43F78"/>
    <w:rsid w:val="55C154B7"/>
    <w:rsid w:val="572459E1"/>
    <w:rsid w:val="57953B45"/>
    <w:rsid w:val="58935B67"/>
    <w:rsid w:val="58F35C08"/>
    <w:rsid w:val="59163DF9"/>
    <w:rsid w:val="59A14426"/>
    <w:rsid w:val="5A1A30A6"/>
    <w:rsid w:val="5A4C7064"/>
    <w:rsid w:val="5A6C2AE8"/>
    <w:rsid w:val="5A9A2701"/>
    <w:rsid w:val="5CAC600B"/>
    <w:rsid w:val="5CC23CF8"/>
    <w:rsid w:val="5D850270"/>
    <w:rsid w:val="5DEC4480"/>
    <w:rsid w:val="5E6916CA"/>
    <w:rsid w:val="625928F9"/>
    <w:rsid w:val="6277087F"/>
    <w:rsid w:val="63D22876"/>
    <w:rsid w:val="64BF5D0A"/>
    <w:rsid w:val="651343C9"/>
    <w:rsid w:val="666676F7"/>
    <w:rsid w:val="66B73940"/>
    <w:rsid w:val="687B1AAE"/>
    <w:rsid w:val="69071CBE"/>
    <w:rsid w:val="69A24A26"/>
    <w:rsid w:val="69B67D29"/>
    <w:rsid w:val="69BB20C1"/>
    <w:rsid w:val="69CC3E66"/>
    <w:rsid w:val="6A0A597F"/>
    <w:rsid w:val="6A6B1CC0"/>
    <w:rsid w:val="6AA608A5"/>
    <w:rsid w:val="6B4E7D55"/>
    <w:rsid w:val="6C0A4C21"/>
    <w:rsid w:val="6D076CF5"/>
    <w:rsid w:val="6D485A39"/>
    <w:rsid w:val="6E1D528A"/>
    <w:rsid w:val="700F5381"/>
    <w:rsid w:val="70F75771"/>
    <w:rsid w:val="71412EB7"/>
    <w:rsid w:val="716D5171"/>
    <w:rsid w:val="71E11E18"/>
    <w:rsid w:val="73A9380A"/>
    <w:rsid w:val="73EA68D4"/>
    <w:rsid w:val="73F430F8"/>
    <w:rsid w:val="73F96C52"/>
    <w:rsid w:val="7477192A"/>
    <w:rsid w:val="74B03F5A"/>
    <w:rsid w:val="74E4483B"/>
    <w:rsid w:val="74F04B62"/>
    <w:rsid w:val="75384B9C"/>
    <w:rsid w:val="757935FE"/>
    <w:rsid w:val="76230AA7"/>
    <w:rsid w:val="776A3D7F"/>
    <w:rsid w:val="77871492"/>
    <w:rsid w:val="778855C1"/>
    <w:rsid w:val="77B009ED"/>
    <w:rsid w:val="77F20A1A"/>
    <w:rsid w:val="78A2114A"/>
    <w:rsid w:val="7AB324EE"/>
    <w:rsid w:val="7AD8527C"/>
    <w:rsid w:val="7BDE7A6D"/>
    <w:rsid w:val="7BE25C93"/>
    <w:rsid w:val="7CAB21E3"/>
    <w:rsid w:val="7CB51C83"/>
    <w:rsid w:val="7EB25CEA"/>
    <w:rsid w:val="7EF0440E"/>
    <w:rsid w:val="7F0B2C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line="300" w:lineRule="auto"/>
      <w:ind w:firstLine="420" w:firstLineChars="200"/>
    </w:pPr>
    <w:rPr>
      <w:szCs w:val="24"/>
    </w:rPr>
  </w:style>
  <w:style w:type="paragraph" w:styleId="5">
    <w:name w:val="Body Text"/>
    <w:basedOn w:val="1"/>
    <w:next w:val="1"/>
    <w:autoRedefine/>
    <w:unhideWhenUsed/>
    <w:qFormat/>
    <w:uiPriority w:val="99"/>
    <w:pPr>
      <w:spacing w:after="120"/>
    </w:pPr>
  </w:style>
  <w:style w:type="paragraph" w:styleId="6">
    <w:name w:val="footer"/>
    <w:basedOn w:val="1"/>
    <w:next w:val="1"/>
    <w:autoRedefine/>
    <w:unhideWhenUsed/>
    <w:qFormat/>
    <w:uiPriority w:val="99"/>
    <w:pPr>
      <w:tabs>
        <w:tab w:val="center" w:pos="4153"/>
        <w:tab w:val="right" w:pos="8306"/>
      </w:tabs>
      <w:snapToGrid w:val="0"/>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autoRedefine/>
    <w:qFormat/>
    <w:uiPriority w:val="0"/>
    <w:pPr>
      <w:ind w:firstLine="420" w:firstLineChars="200"/>
    </w:pPr>
  </w:style>
  <w:style w:type="paragraph" w:customStyle="1" w:styleId="12">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0"/>
    <w:autoRedefine/>
    <w:qFormat/>
    <w:uiPriority w:val="0"/>
    <w:rPr>
      <w:rFonts w:ascii="Arial" w:hAnsi="Arial" w:cs="Arial"/>
      <w:color w:val="000000"/>
      <w:sz w:val="20"/>
      <w:szCs w:val="20"/>
      <w:u w:val="none"/>
    </w:rPr>
  </w:style>
  <w:style w:type="character" w:customStyle="1" w:styleId="18">
    <w:name w:val="font11"/>
    <w:basedOn w:val="10"/>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23</Pages>
  <Words>7197</Words>
  <Characters>8144</Characters>
  <Lines>45</Lines>
  <Paragraphs>12</Paragraphs>
  <TotalTime>0</TotalTime>
  <ScaleCrop>false</ScaleCrop>
  <LinksUpToDate>false</LinksUpToDate>
  <CharactersWithSpaces>8683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2024-06-21T08:18:53Z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597572877_cloud</vt:lpwstr>
  </property>
  <property fmtid="{D5CDD505-2E9C-101B-9397-08002B2CF9AE}" pid="4" name="ICV">
    <vt:lpwstr>ECC243B6ABD94FF9B6F362507F5A10E3_13</vt:lpwstr>
  </property>
</Properties>
</file>