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十一、陕西燃气集团工程有限公司</w:t>
      </w:r>
    </w:p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雄安 2023 年度供热（冷）、燃气工商户及民用户维抢修工程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年度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施工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劳务分包</w:t>
      </w:r>
    </w:p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</w:rPr>
        <w:t>报价函回执</w:t>
      </w:r>
    </w:p>
    <w:bookmarkEnd w:id="0"/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eastAsia="zh-CN"/>
        </w:rPr>
        <w:t>雄安2023年度供热（冷）、燃气工商户及民用户维抢修工程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>年度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eastAsia="zh-CN"/>
        </w:rPr>
        <w:t>施工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劳务分包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>
      <w:pPr>
        <w:jc w:val="left"/>
        <w:rPr>
          <w:sz w:val="28"/>
          <w:szCs w:val="36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277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2023-11-21T08:50:04Z</dcterms:created>
  <dc:creator>DELL</dc:creator>
  <cp:lastModifiedBy>DELL</cp:lastModifiedBy>
  <dcterms:modified xsi:type="dcterms:W3CDTF">2023-11-21T08:50:09Z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75F454C7D5F747BE81E5681BC19BFE14_12</vt:lpwstr>
  </property>
</Properties>
</file>