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十一、陕西燃气集团工程有限公司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康汉线与康略高速交叉改线工程土建劳务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谈判</w:t>
      </w: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邀请报价</w:t>
      </w:r>
      <w:r>
        <w:rPr>
          <w:rFonts w:hint="eastAsia" w:ascii="宋体" w:hAnsi="宋体" w:cs="宋体"/>
          <w:b/>
          <w:bCs/>
          <w:sz w:val="32"/>
          <w:szCs w:val="32"/>
        </w:rPr>
        <w:t>回执</w:t>
      </w:r>
    </w:p>
    <w:bookmarkEnd w:id="0"/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  <w:u w:val="single"/>
          <w:lang w:val="en-US" w:eastAsia="zh-CN"/>
        </w:rPr>
        <w:t>康汉线与康略高速交叉改线工程土建劳务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4480" w:firstLineChars="1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0C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2023-10-19T02:12:43Z</dcterms:created>
  <dc:creator>DELL</dc:creator>
  <cp:lastModifiedBy>DELL</cp:lastModifiedBy>
  <dcterms:modified xsi:type="dcterms:W3CDTF">2023-10-19T02:12:52Z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7B8E0FA6E11643AA91C734B5F1574D03_12</vt:lpwstr>
  </property>
</Properties>
</file>