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宋体" w:hAnsi="宋体" w:eastAsia="宋体" w:cs="宋体"/>
          <w:b/>
          <w:bCs/>
          <w:sz w:val="52"/>
          <w:szCs w:val="52"/>
          <w:highlight w:val="none"/>
          <w:lang w:eastAsia="zh-CN"/>
        </w:rPr>
      </w:pPr>
      <w:r>
        <w:rPr>
          <w:rFonts w:hint="eastAsia" w:ascii="宋体" w:hAnsi="宋体" w:eastAsia="宋体" w:cs="宋体"/>
          <w:b/>
          <w:bCs/>
          <w:sz w:val="52"/>
          <w:szCs w:val="52"/>
          <w:highlight w:val="none"/>
          <w:lang w:eastAsia="zh-CN"/>
        </w:rPr>
        <w:t>陕西燃气集团工程有限公司</w:t>
      </w:r>
    </w:p>
    <w:p>
      <w:pPr>
        <w:spacing w:line="240" w:lineRule="auto"/>
        <w:jc w:val="center"/>
        <w:rPr>
          <w:rFonts w:hint="eastAsia" w:ascii="宋体" w:hAnsi="宋体" w:eastAsia="宋体" w:cs="宋体"/>
          <w:b/>
          <w:bCs/>
          <w:sz w:val="52"/>
          <w:szCs w:val="52"/>
          <w:highlight w:val="none"/>
          <w:lang w:val="en-US" w:eastAsia="zh-CN"/>
        </w:rPr>
      </w:pPr>
      <w:r>
        <w:rPr>
          <w:rFonts w:hint="eastAsia" w:ascii="宋体" w:hAnsi="宋体" w:eastAsia="宋体" w:cs="宋体"/>
          <w:b/>
          <w:bCs/>
          <w:sz w:val="52"/>
          <w:szCs w:val="52"/>
          <w:highlight w:val="none"/>
          <w:lang w:val="en-US" w:eastAsia="zh-CN"/>
        </w:rPr>
        <w:t>咸阳市热力公司利用热电联产</w:t>
      </w:r>
    </w:p>
    <w:p>
      <w:pPr>
        <w:spacing w:line="240" w:lineRule="auto"/>
        <w:jc w:val="center"/>
        <w:rPr>
          <w:rFonts w:hint="eastAsia" w:ascii="宋体" w:hAnsi="宋体" w:cs="宋体"/>
          <w:b/>
          <w:bCs/>
          <w:sz w:val="52"/>
          <w:szCs w:val="52"/>
          <w:highlight w:val="none"/>
          <w:lang w:val="en-US" w:eastAsia="zh-CN"/>
        </w:rPr>
      </w:pPr>
      <w:r>
        <w:rPr>
          <w:rFonts w:hint="eastAsia" w:ascii="宋体" w:hAnsi="宋体" w:eastAsia="宋体" w:cs="宋体"/>
          <w:b/>
          <w:bCs/>
          <w:sz w:val="52"/>
          <w:szCs w:val="52"/>
          <w:highlight w:val="none"/>
          <w:lang w:val="en-US" w:eastAsia="zh-CN"/>
        </w:rPr>
        <w:t>热网新建及改建项目二期工程</w:t>
      </w:r>
    </w:p>
    <w:p>
      <w:pPr>
        <w:spacing w:line="240" w:lineRule="auto"/>
        <w:jc w:val="center"/>
        <w:rPr>
          <w:rFonts w:hint="eastAsia" w:ascii="宋体" w:hAnsi="宋体" w:eastAsia="宋体" w:cs="宋体"/>
          <w:b/>
          <w:bCs/>
          <w:sz w:val="52"/>
          <w:szCs w:val="52"/>
          <w:highlight w:val="none"/>
          <w:lang w:val="en-US" w:eastAsia="zh-CN"/>
        </w:rPr>
      </w:pPr>
      <w:r>
        <w:rPr>
          <w:rFonts w:hint="eastAsia" w:ascii="宋体" w:hAnsi="宋体" w:cs="宋体"/>
          <w:b/>
          <w:bCs/>
          <w:sz w:val="52"/>
          <w:szCs w:val="52"/>
          <w:highlight w:val="none"/>
          <w:lang w:val="en-US" w:eastAsia="zh-CN"/>
        </w:rPr>
        <w:t>补偿器</w:t>
      </w:r>
      <w:r>
        <w:rPr>
          <w:rFonts w:hint="eastAsia" w:ascii="宋体" w:hAnsi="宋体" w:eastAsia="宋体" w:cs="宋体"/>
          <w:b/>
          <w:bCs/>
          <w:sz w:val="52"/>
          <w:szCs w:val="52"/>
          <w:highlight w:val="none"/>
          <w:lang w:val="en-US" w:eastAsia="zh-CN"/>
        </w:rPr>
        <w:t>采购</w:t>
      </w:r>
    </w:p>
    <w:p>
      <w:pPr>
        <w:spacing w:line="240" w:lineRule="auto"/>
        <w:jc w:val="center"/>
        <w:rPr>
          <w:rFonts w:hint="eastAsia" w:ascii="宋体" w:hAnsi="宋体" w:eastAsia="宋体" w:cs="宋体"/>
          <w:b/>
          <w:bCs/>
          <w:sz w:val="52"/>
          <w:szCs w:val="52"/>
          <w:highlight w:val="none"/>
          <w:lang w:eastAsia="zh-CN"/>
        </w:rPr>
      </w:pPr>
    </w:p>
    <w:p>
      <w:pPr>
        <w:spacing w:line="580" w:lineRule="exact"/>
        <w:jc w:val="center"/>
        <w:rPr>
          <w:rFonts w:hint="eastAsia" w:ascii="方正小标宋简体" w:hAnsi="方正小标宋简体" w:eastAsia="方正小标宋简体" w:cs="方正小标宋简体"/>
          <w:sz w:val="36"/>
          <w:szCs w:val="36"/>
          <w:highlight w:val="none"/>
          <w:lang w:eastAsia="zh-CN"/>
        </w:rPr>
      </w:pPr>
    </w:p>
    <w:p>
      <w:pPr>
        <w:spacing w:line="580" w:lineRule="exact"/>
        <w:jc w:val="center"/>
        <w:rPr>
          <w:rFonts w:hint="eastAsia" w:ascii="方正小标宋简体" w:hAnsi="方正小标宋简体" w:eastAsia="方正小标宋简体" w:cs="方正小标宋简体"/>
          <w:sz w:val="36"/>
          <w:szCs w:val="36"/>
          <w:highlight w:val="none"/>
          <w:lang w:eastAsia="zh-CN"/>
        </w:rPr>
      </w:pPr>
    </w:p>
    <w:p>
      <w:pPr>
        <w:spacing w:line="240" w:lineRule="auto"/>
        <w:jc w:val="center"/>
        <w:rPr>
          <w:rFonts w:hint="eastAsia" w:ascii="宋体" w:hAnsi="宋体" w:eastAsia="宋体" w:cs="宋体"/>
          <w:b/>
          <w:bCs/>
          <w:sz w:val="52"/>
          <w:szCs w:val="52"/>
          <w:highlight w:val="none"/>
          <w:lang w:eastAsia="zh-CN"/>
        </w:rPr>
      </w:pPr>
      <w:r>
        <w:rPr>
          <w:rFonts w:hint="eastAsia" w:ascii="宋体" w:hAnsi="宋体" w:eastAsia="宋体" w:cs="宋体"/>
          <w:b/>
          <w:bCs/>
          <w:sz w:val="52"/>
          <w:szCs w:val="52"/>
          <w:highlight w:val="none"/>
          <w:lang w:eastAsia="zh-CN"/>
        </w:rPr>
        <w:t>竞争性谈判采购文件</w:t>
      </w:r>
    </w:p>
    <w:p>
      <w:pPr>
        <w:spacing w:line="580" w:lineRule="exact"/>
        <w:jc w:val="center"/>
        <w:rPr>
          <w:rFonts w:hint="eastAsia" w:ascii="方正小标宋简体" w:hAnsi="方正小标宋简体" w:eastAsia="方正小标宋简体" w:cs="方正小标宋简体"/>
          <w:sz w:val="36"/>
          <w:szCs w:val="36"/>
          <w:highlight w:val="none"/>
          <w:lang w:eastAsia="zh-CN"/>
        </w:rPr>
      </w:pPr>
    </w:p>
    <w:p>
      <w:pPr>
        <w:spacing w:line="580" w:lineRule="exact"/>
        <w:jc w:val="center"/>
        <w:rPr>
          <w:rFonts w:hint="eastAsia" w:ascii="方正小标宋简体" w:hAnsi="方正小标宋简体" w:eastAsia="方正小标宋简体" w:cs="方正小标宋简体"/>
          <w:sz w:val="36"/>
          <w:szCs w:val="36"/>
          <w:highlight w:val="none"/>
          <w:lang w:eastAsia="zh-CN"/>
        </w:rPr>
      </w:pPr>
    </w:p>
    <w:p>
      <w:pPr>
        <w:spacing w:line="580" w:lineRule="exact"/>
        <w:jc w:val="center"/>
        <w:rPr>
          <w:rFonts w:hint="eastAsia" w:ascii="方正小标宋简体" w:hAnsi="方正小标宋简体" w:eastAsia="方正小标宋简体" w:cs="方正小标宋简体"/>
          <w:sz w:val="36"/>
          <w:szCs w:val="36"/>
          <w:highlight w:val="none"/>
          <w:lang w:eastAsia="zh-CN"/>
        </w:rPr>
      </w:pPr>
    </w:p>
    <w:p>
      <w:pPr>
        <w:spacing w:line="580" w:lineRule="exact"/>
        <w:jc w:val="center"/>
        <w:rPr>
          <w:rFonts w:hint="eastAsia" w:ascii="方正小标宋简体" w:hAnsi="方正小标宋简体" w:eastAsia="方正小标宋简体" w:cs="方正小标宋简体"/>
          <w:sz w:val="36"/>
          <w:szCs w:val="36"/>
          <w:highlight w:val="none"/>
          <w:lang w:eastAsia="zh-CN"/>
        </w:rPr>
      </w:pPr>
    </w:p>
    <w:p>
      <w:pPr>
        <w:pStyle w:val="10"/>
        <w:rPr>
          <w:rFonts w:hint="eastAsia" w:ascii="方正小标宋简体" w:hAnsi="方正小标宋简体" w:eastAsia="方正小标宋简体" w:cs="方正小标宋简体"/>
          <w:sz w:val="36"/>
          <w:szCs w:val="36"/>
          <w:highlight w:val="none"/>
          <w:lang w:eastAsia="zh-CN"/>
        </w:rPr>
      </w:pPr>
    </w:p>
    <w:p>
      <w:pPr>
        <w:rPr>
          <w:rFonts w:hint="eastAsia" w:ascii="方正小标宋简体" w:hAnsi="方正小标宋简体" w:eastAsia="方正小标宋简体" w:cs="方正小标宋简体"/>
          <w:sz w:val="36"/>
          <w:szCs w:val="36"/>
          <w:highlight w:val="none"/>
          <w:lang w:eastAsia="zh-CN"/>
        </w:rPr>
      </w:pPr>
    </w:p>
    <w:p>
      <w:pPr>
        <w:pStyle w:val="10"/>
        <w:rPr>
          <w:rFonts w:hint="eastAsia"/>
          <w:lang w:eastAsia="zh-CN"/>
        </w:rPr>
      </w:pPr>
    </w:p>
    <w:p>
      <w:pPr>
        <w:spacing w:line="240" w:lineRule="auto"/>
        <w:jc w:val="center"/>
        <w:rPr>
          <w:rFonts w:hint="eastAsia" w:ascii="宋体" w:hAnsi="宋体" w:eastAsia="宋体" w:cs="宋体"/>
          <w:b/>
          <w:bCs/>
          <w:sz w:val="44"/>
          <w:szCs w:val="44"/>
          <w:highlight w:val="none"/>
          <w:lang w:eastAsia="zh-CN"/>
        </w:rPr>
      </w:pPr>
      <w:r>
        <w:rPr>
          <w:rFonts w:hint="eastAsia" w:ascii="宋体" w:hAnsi="宋体" w:eastAsia="宋体" w:cs="宋体"/>
          <w:b/>
          <w:bCs/>
          <w:sz w:val="44"/>
          <w:szCs w:val="44"/>
          <w:highlight w:val="none"/>
          <w:lang w:eastAsia="zh-CN"/>
        </w:rPr>
        <w:t>陕西燃气集团工程有限公司</w:t>
      </w:r>
    </w:p>
    <w:p>
      <w:pPr>
        <w:spacing w:line="240" w:lineRule="auto"/>
        <w:jc w:val="center"/>
        <w:rPr>
          <w:rFonts w:hint="eastAsia" w:ascii="宋体" w:hAnsi="宋体" w:cs="宋体"/>
          <w:b/>
          <w:bCs/>
          <w:sz w:val="44"/>
          <w:szCs w:val="44"/>
          <w:highlight w:val="none"/>
          <w:lang w:val="en-US" w:eastAsia="zh-CN"/>
        </w:rPr>
      </w:pPr>
      <w:r>
        <w:rPr>
          <w:rFonts w:hint="eastAsia" w:ascii="宋体" w:hAnsi="宋体" w:cs="宋体"/>
          <w:b/>
          <w:bCs/>
          <w:sz w:val="44"/>
          <w:szCs w:val="44"/>
          <w:highlight w:val="none"/>
          <w:lang w:val="en-US" w:eastAsia="zh-CN"/>
        </w:rPr>
        <w:t>项目管理部（安全办公室）</w:t>
      </w:r>
    </w:p>
    <w:p>
      <w:pPr>
        <w:spacing w:line="240" w:lineRule="auto"/>
        <w:jc w:val="center"/>
        <w:rPr>
          <w:rFonts w:hint="eastAsia" w:ascii="宋体" w:hAnsi="宋体" w:eastAsia="宋体" w:cs="宋体"/>
          <w:b/>
          <w:bCs/>
          <w:sz w:val="44"/>
          <w:szCs w:val="44"/>
          <w:highlight w:val="none"/>
          <w:lang w:eastAsia="zh-CN"/>
        </w:rPr>
        <w:sectPr>
          <w:footerReference r:id="rId3" w:type="default"/>
          <w:pgSz w:w="11906" w:h="16838"/>
          <w:pgMar w:top="2098" w:right="1474" w:bottom="1928" w:left="1587" w:header="851" w:footer="992" w:gutter="0"/>
          <w:pgNumType w:fmt="numberInDash"/>
          <w:cols w:space="720" w:num="1"/>
          <w:docGrid w:type="lines" w:linePitch="312" w:charSpace="0"/>
        </w:sectPr>
      </w:pPr>
      <w:r>
        <w:rPr>
          <w:rFonts w:hint="eastAsia" w:ascii="宋体" w:hAnsi="宋体" w:eastAsia="宋体" w:cs="宋体"/>
          <w:b/>
          <w:bCs/>
          <w:sz w:val="44"/>
          <w:szCs w:val="44"/>
          <w:highlight w:val="none"/>
          <w:lang w:eastAsia="zh-CN"/>
        </w:rPr>
        <w:t>二〇二</w:t>
      </w:r>
      <w:r>
        <w:rPr>
          <w:rFonts w:hint="eastAsia" w:ascii="宋体" w:hAnsi="宋体" w:eastAsia="宋体" w:cs="宋体"/>
          <w:b/>
          <w:bCs/>
          <w:sz w:val="44"/>
          <w:szCs w:val="44"/>
          <w:highlight w:val="none"/>
          <w:lang w:val="en-US" w:eastAsia="zh-CN"/>
        </w:rPr>
        <w:t>三</w:t>
      </w:r>
      <w:r>
        <w:rPr>
          <w:rFonts w:hint="eastAsia" w:ascii="宋体" w:hAnsi="宋体" w:eastAsia="宋体" w:cs="宋体"/>
          <w:b/>
          <w:bCs/>
          <w:sz w:val="44"/>
          <w:szCs w:val="44"/>
          <w:highlight w:val="none"/>
          <w:lang w:eastAsia="zh-CN"/>
        </w:rPr>
        <w:t>年</w:t>
      </w:r>
      <w:r>
        <w:rPr>
          <w:rFonts w:hint="eastAsia" w:ascii="宋体" w:hAnsi="宋体" w:cs="宋体"/>
          <w:b/>
          <w:bCs/>
          <w:sz w:val="44"/>
          <w:szCs w:val="44"/>
          <w:highlight w:val="none"/>
          <w:lang w:val="en-US" w:eastAsia="zh-CN"/>
        </w:rPr>
        <w:t>九</w:t>
      </w:r>
      <w:r>
        <w:rPr>
          <w:rFonts w:hint="eastAsia" w:ascii="宋体" w:hAnsi="宋体" w:eastAsia="宋体" w:cs="宋体"/>
          <w:b/>
          <w:bCs/>
          <w:sz w:val="44"/>
          <w:szCs w:val="44"/>
          <w:highlight w:val="none"/>
          <w:lang w:eastAsia="zh-CN"/>
        </w:rPr>
        <w:t>月</w:t>
      </w:r>
    </w:p>
    <w:p>
      <w:pPr>
        <w:spacing w:line="580" w:lineRule="exact"/>
        <w:jc w:val="center"/>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陕西燃气集团工程有限公司</w:t>
      </w:r>
    </w:p>
    <w:p>
      <w:pPr>
        <w:spacing w:line="580" w:lineRule="exact"/>
        <w:jc w:val="center"/>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t>咸阳市热力公司利用热电联产热网新建</w:t>
      </w:r>
    </w:p>
    <w:p>
      <w:pPr>
        <w:spacing w:line="580" w:lineRule="exact"/>
        <w:jc w:val="center"/>
        <w:rPr>
          <w:rFonts w:hint="eastAsia" w:ascii="宋体" w:hAnsi="宋体" w:eastAsia="宋体" w:cs="宋体"/>
          <w:b/>
          <w:bCs/>
          <w:sz w:val="36"/>
          <w:szCs w:val="36"/>
          <w:highlight w:val="none"/>
          <w:lang w:val="en-US" w:eastAsia="zh-CN"/>
        </w:rPr>
      </w:pPr>
      <w:r>
        <w:rPr>
          <w:rFonts w:hint="eastAsia" w:ascii="宋体" w:hAnsi="宋体" w:eastAsia="宋体" w:cs="宋体"/>
          <w:b/>
          <w:bCs/>
          <w:sz w:val="36"/>
          <w:szCs w:val="36"/>
          <w:highlight w:val="none"/>
          <w:lang w:val="en-US" w:eastAsia="zh-CN"/>
        </w:rPr>
        <w:t>及改建项目二期工程</w:t>
      </w:r>
      <w:r>
        <w:rPr>
          <w:rFonts w:hint="eastAsia" w:ascii="宋体" w:hAnsi="宋体" w:cs="宋体"/>
          <w:b/>
          <w:bCs/>
          <w:sz w:val="36"/>
          <w:szCs w:val="36"/>
          <w:highlight w:val="none"/>
          <w:lang w:val="en-US" w:eastAsia="zh-CN"/>
        </w:rPr>
        <w:t>补偿器</w:t>
      </w:r>
      <w:r>
        <w:rPr>
          <w:rFonts w:hint="eastAsia" w:ascii="宋体" w:hAnsi="宋体" w:eastAsia="宋体" w:cs="宋体"/>
          <w:b/>
          <w:bCs/>
          <w:sz w:val="36"/>
          <w:szCs w:val="36"/>
          <w:highlight w:val="none"/>
          <w:lang w:val="en-US" w:eastAsia="zh-CN"/>
        </w:rPr>
        <w:t>采购报价要求</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我公司拟对咸阳市热力公司利用热电联产热网新建及改建项目二期工程补偿器采购进行比价洽谈，特邀请贵公司参与洽谈。该项目具体情况如下：</w:t>
      </w:r>
    </w:p>
    <w:p>
      <w:pPr>
        <w:spacing w:line="480" w:lineRule="auto"/>
        <w:ind w:firstLine="482" w:firstLineChars="200"/>
        <w:jc w:val="left"/>
        <w:rPr>
          <w:rFonts w:ascii="宋体" w:hAnsi="宋体" w:eastAsia="宋体" w:cs="宋体"/>
          <w:b/>
          <w:bCs/>
          <w:sz w:val="24"/>
          <w:szCs w:val="24"/>
          <w:lang w:eastAsia="zh-CN"/>
        </w:rPr>
      </w:pPr>
      <w:r>
        <w:rPr>
          <w:rFonts w:hint="eastAsia" w:ascii="宋体" w:hAnsi="宋体" w:eastAsia="宋体" w:cs="宋体"/>
          <w:b/>
          <w:bCs/>
          <w:sz w:val="24"/>
          <w:szCs w:val="24"/>
          <w:lang w:eastAsia="zh-CN"/>
        </w:rPr>
        <w:t>一、项目名称：</w:t>
      </w:r>
      <w:r>
        <w:rPr>
          <w:rFonts w:hint="eastAsia" w:ascii="宋体" w:hAnsi="宋体" w:cs="宋体"/>
          <w:sz w:val="24"/>
          <w:szCs w:val="24"/>
          <w:lang w:val="en-US" w:eastAsia="zh-CN"/>
        </w:rPr>
        <w:t>咸阳市热力公司利用热电联产热网新建及改建项目二期工程</w:t>
      </w:r>
    </w:p>
    <w:p>
      <w:pPr>
        <w:numPr>
          <w:ilvl w:val="0"/>
          <w:numId w:val="1"/>
        </w:numPr>
        <w:spacing w:after="0" w:line="240" w:lineRule="auto"/>
        <w:ind w:firstLine="482" w:firstLineChars="200"/>
        <w:rPr>
          <w:rFonts w:ascii="宋体" w:hAnsi="宋体" w:eastAsia="宋体" w:cs="宋体"/>
          <w:b/>
          <w:bCs/>
          <w:sz w:val="24"/>
          <w:szCs w:val="24"/>
          <w:lang w:eastAsia="zh-CN"/>
        </w:rPr>
      </w:pPr>
      <w:bookmarkStart w:id="0" w:name="bookmark5"/>
      <w:r>
        <w:rPr>
          <w:rFonts w:hint="eastAsia" w:ascii="宋体" w:hAnsi="宋体" w:eastAsia="宋体" w:cs="宋体"/>
          <w:b/>
          <w:bCs/>
          <w:sz w:val="24"/>
          <w:szCs w:val="24"/>
          <w:lang w:eastAsia="zh-CN"/>
        </w:rPr>
        <w:t>报价清单及要求：</w:t>
      </w:r>
    </w:p>
    <w:tbl>
      <w:tblPr>
        <w:tblStyle w:val="20"/>
        <w:tblW w:w="9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2949"/>
        <w:gridCol w:w="3253"/>
        <w:gridCol w:w="816"/>
        <w:gridCol w:w="802"/>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1" w:type="dxa"/>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序号</w:t>
            </w:r>
          </w:p>
        </w:tc>
        <w:tc>
          <w:tcPr>
            <w:tcW w:w="2949" w:type="dxa"/>
            <w:vAlign w:val="center"/>
          </w:tcPr>
          <w:p>
            <w:pPr>
              <w:keepNext w:val="0"/>
              <w:keepLines w:val="0"/>
              <w:widowControl/>
              <w:suppressLineNumbers w:val="0"/>
              <w:spacing w:after="0" w:line="240" w:lineRule="auto"/>
              <w:jc w:val="center"/>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物资</w:t>
            </w:r>
          </w:p>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名称</w:t>
            </w:r>
          </w:p>
        </w:tc>
        <w:tc>
          <w:tcPr>
            <w:tcW w:w="3253" w:type="dxa"/>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规格型号</w:t>
            </w:r>
          </w:p>
        </w:tc>
        <w:tc>
          <w:tcPr>
            <w:tcW w:w="816" w:type="dxa"/>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单位</w:t>
            </w:r>
          </w:p>
        </w:tc>
        <w:tc>
          <w:tcPr>
            <w:tcW w:w="802" w:type="dxa"/>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数量</w:t>
            </w:r>
          </w:p>
        </w:tc>
        <w:tc>
          <w:tcPr>
            <w:tcW w:w="1371" w:type="dxa"/>
            <w:vAlign w:val="center"/>
          </w:tcPr>
          <w:p>
            <w:pPr>
              <w:keepNext w:val="0"/>
              <w:keepLines w:val="0"/>
              <w:widowControl/>
              <w:suppressLineNumbers w:val="0"/>
              <w:spacing w:after="0" w:line="240" w:lineRule="auto"/>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1" w:type="dxa"/>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94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单向无泄漏套筒补偿器</w:t>
            </w:r>
          </w:p>
        </w:tc>
        <w:tc>
          <w:tcPr>
            <w:tcW w:w="325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DN100 △X=200mm 1.6Mpa</w:t>
            </w:r>
          </w:p>
        </w:tc>
        <w:tc>
          <w:tcPr>
            <w:tcW w:w="816" w:type="dxa"/>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80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37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CJ/T487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1" w:type="dxa"/>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94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单向无泄漏套筒补偿器</w:t>
            </w:r>
          </w:p>
        </w:tc>
        <w:tc>
          <w:tcPr>
            <w:tcW w:w="325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DN100 △X=300mm 1.6Mpa</w:t>
            </w:r>
          </w:p>
        </w:tc>
        <w:tc>
          <w:tcPr>
            <w:tcW w:w="816" w:type="dxa"/>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80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37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CJ/T487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1" w:type="dxa"/>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294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单向无泄漏套筒补偿器</w:t>
            </w:r>
          </w:p>
        </w:tc>
        <w:tc>
          <w:tcPr>
            <w:tcW w:w="325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DN200 △X=200mm 1.6Mpa</w:t>
            </w:r>
          </w:p>
        </w:tc>
        <w:tc>
          <w:tcPr>
            <w:tcW w:w="816" w:type="dxa"/>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80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37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CJ/T487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1" w:type="dxa"/>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94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单向无泄漏套筒补偿器</w:t>
            </w:r>
          </w:p>
        </w:tc>
        <w:tc>
          <w:tcPr>
            <w:tcW w:w="325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DN200 △X=300mm 1.6Mpa</w:t>
            </w:r>
          </w:p>
        </w:tc>
        <w:tc>
          <w:tcPr>
            <w:tcW w:w="816" w:type="dxa"/>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80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37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CJ/T487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1" w:type="dxa"/>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294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单向无泄漏套筒补偿器</w:t>
            </w:r>
          </w:p>
        </w:tc>
        <w:tc>
          <w:tcPr>
            <w:tcW w:w="325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DN350 △X=200mm 1.6Mpa</w:t>
            </w:r>
          </w:p>
        </w:tc>
        <w:tc>
          <w:tcPr>
            <w:tcW w:w="816" w:type="dxa"/>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80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37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CJ/T487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1" w:type="dxa"/>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294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单向无泄漏套筒补偿器</w:t>
            </w:r>
          </w:p>
        </w:tc>
        <w:tc>
          <w:tcPr>
            <w:tcW w:w="325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DN350 △X=300mm 1.6Mpa</w:t>
            </w:r>
          </w:p>
        </w:tc>
        <w:tc>
          <w:tcPr>
            <w:tcW w:w="816" w:type="dxa"/>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80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37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CJ/T487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1" w:type="dxa"/>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294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单向无泄漏套筒补偿器</w:t>
            </w:r>
          </w:p>
        </w:tc>
        <w:tc>
          <w:tcPr>
            <w:tcW w:w="325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DN400 △X=200mm 1.6Mpa</w:t>
            </w:r>
          </w:p>
        </w:tc>
        <w:tc>
          <w:tcPr>
            <w:tcW w:w="816" w:type="dxa"/>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80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37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CJ/T487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1" w:type="dxa"/>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294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单向无泄漏套筒补偿器</w:t>
            </w:r>
          </w:p>
        </w:tc>
        <w:tc>
          <w:tcPr>
            <w:tcW w:w="325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DN400 △X=300mm 1.6Mpa</w:t>
            </w:r>
          </w:p>
        </w:tc>
        <w:tc>
          <w:tcPr>
            <w:tcW w:w="816" w:type="dxa"/>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80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37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CJ/T487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1" w:type="dxa"/>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294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单向无泄漏套筒补偿器</w:t>
            </w:r>
          </w:p>
        </w:tc>
        <w:tc>
          <w:tcPr>
            <w:tcW w:w="325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DN600 △X=200mm 1.6Mpa</w:t>
            </w:r>
          </w:p>
        </w:tc>
        <w:tc>
          <w:tcPr>
            <w:tcW w:w="816" w:type="dxa"/>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80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137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CJ/T487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1" w:type="dxa"/>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294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单向无泄漏套筒补偿器</w:t>
            </w:r>
          </w:p>
        </w:tc>
        <w:tc>
          <w:tcPr>
            <w:tcW w:w="325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DN600 △X=300mm 1.6Mpa</w:t>
            </w:r>
          </w:p>
        </w:tc>
        <w:tc>
          <w:tcPr>
            <w:tcW w:w="816" w:type="dxa"/>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80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137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CJ/T487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1" w:type="dxa"/>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294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单向无泄漏套筒补偿器</w:t>
            </w:r>
          </w:p>
        </w:tc>
        <w:tc>
          <w:tcPr>
            <w:tcW w:w="325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DN700 △X=200mm 1.6Mpa</w:t>
            </w:r>
          </w:p>
        </w:tc>
        <w:tc>
          <w:tcPr>
            <w:tcW w:w="816" w:type="dxa"/>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80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37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CJ/T487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1" w:type="dxa"/>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294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单向无泄漏套筒补偿器</w:t>
            </w:r>
          </w:p>
        </w:tc>
        <w:tc>
          <w:tcPr>
            <w:tcW w:w="325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DN700 △X=300mm 1.6Mpa</w:t>
            </w:r>
          </w:p>
        </w:tc>
        <w:tc>
          <w:tcPr>
            <w:tcW w:w="816" w:type="dxa"/>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80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37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CJ/T487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1" w:type="dxa"/>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294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注填式万向球形补偿器</w:t>
            </w:r>
          </w:p>
        </w:tc>
        <w:tc>
          <w:tcPr>
            <w:tcW w:w="325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DN100 最大折曲角θ=±12°   1.6Mpa</w:t>
            </w:r>
          </w:p>
        </w:tc>
        <w:tc>
          <w:tcPr>
            <w:tcW w:w="816" w:type="dxa"/>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80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37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GB/T37261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1" w:type="dxa"/>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294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注填式万向球型补偿器</w:t>
            </w:r>
          </w:p>
        </w:tc>
        <w:tc>
          <w:tcPr>
            <w:tcW w:w="325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DN200 最大折曲角θ=±15°   1.6Mpa</w:t>
            </w:r>
          </w:p>
        </w:tc>
        <w:tc>
          <w:tcPr>
            <w:tcW w:w="816" w:type="dxa"/>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80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37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GB/T37261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1" w:type="dxa"/>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294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注填式万向球型补偿器</w:t>
            </w:r>
          </w:p>
        </w:tc>
        <w:tc>
          <w:tcPr>
            <w:tcW w:w="325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DN250 最大折曲角θ=±12  1.6Mpa</w:t>
            </w:r>
          </w:p>
        </w:tc>
        <w:tc>
          <w:tcPr>
            <w:tcW w:w="816" w:type="dxa"/>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80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37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GB/T37261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1" w:type="dxa"/>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294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注填式万向球形补偿器</w:t>
            </w:r>
          </w:p>
        </w:tc>
        <w:tc>
          <w:tcPr>
            <w:tcW w:w="3253"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DN700 最大折曲角θ=±12°1.6Mpa</w:t>
            </w:r>
          </w:p>
        </w:tc>
        <w:tc>
          <w:tcPr>
            <w:tcW w:w="816" w:type="dxa"/>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80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37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GB/T37261</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注：1.物资运输地址：咸阳市热力公司利用热电联产热网新建及改建项目二期工程项目甲方指定地点。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2.供货周期：接买方订单计划后15日内送达。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3.随车提供合格证、检验报告、厂家资料。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4.具体参数及技术要求详见技术协议及图纸。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1.补偿器必须符合国家现行标准CJ/T487、GB/T37261的规定。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2.所有补偿器必须有制造厂的产品合格证。所有补偿器要求随机附带出厂试验报告及试验记录（强度试验和严密性试验）。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3.补偿器铭牌处需标明对应的项目名称、规格型号、出厂日期、制造厂单位等，设备本体上须标明安装方向。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4.补偿器的密封材料耐热温度应大于180℃，同时应保证补偿器在使用期限内无泄漏，补偿器应自带防拉脱结构，保证补偿器不被拉脱。补偿器构件材质为Q235B。</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5.补偿器的连接形式采用焊接连接。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6.补偿器需附带安装指南。</w:t>
      </w:r>
    </w:p>
    <w:bookmarkEnd w:id="0"/>
    <w:p>
      <w:pPr>
        <w:spacing w:after="0"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三、报价人资格条件：</w:t>
      </w:r>
    </w:p>
    <w:p>
      <w:p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1.具有独立法人资格,且具备有效合格的统一社会信用代码的营业执照。提供有效的基本账户开户许可证，或基本账户信息证明材料。</w:t>
      </w:r>
    </w:p>
    <w:p>
      <w:p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2.具备一般纳税人资格，提供如税务机关出具的一般纳税人资格证明，或近期开具的增值税专用发票，或税务机关官方网站一般纳税人查询记录截图等有效证明材料。</w:t>
      </w:r>
    </w:p>
    <w:p>
      <w:p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3.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附承诺书加盖公章）。</w:t>
      </w:r>
    </w:p>
    <w:p>
      <w:pPr>
        <w:spacing w:after="0"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.提供报价人2020年1月1日至今（以合同签订时间为准）承担过</w:t>
      </w:r>
      <w:r>
        <w:rPr>
          <w:rFonts w:hint="eastAsia" w:ascii="宋体" w:hAnsi="宋体" w:eastAsia="宋体" w:cs="宋体"/>
          <w:sz w:val="24"/>
          <w:szCs w:val="24"/>
          <w:highlight w:val="none"/>
          <w:lang w:val="en-US" w:eastAsia="zh-CN"/>
        </w:rPr>
        <w:t>类似</w:t>
      </w:r>
      <w:r>
        <w:rPr>
          <w:rFonts w:hint="eastAsia" w:ascii="宋体" w:hAnsi="宋体" w:eastAsia="宋体" w:cs="宋体"/>
          <w:sz w:val="24"/>
          <w:szCs w:val="24"/>
          <w:highlight w:val="none"/>
          <w:lang w:eastAsia="zh-CN"/>
        </w:rPr>
        <w:t>供货业绩证明材料不少于</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eastAsia="zh-CN"/>
        </w:rPr>
        <w:t>个，总计金额不低于</w:t>
      </w:r>
      <w:r>
        <w:rPr>
          <w:rFonts w:hint="eastAsia" w:ascii="宋体" w:hAnsi="宋体" w:cs="宋体"/>
          <w:sz w:val="24"/>
          <w:szCs w:val="24"/>
          <w:highlight w:val="none"/>
          <w:lang w:val="en-US" w:eastAsia="zh-CN"/>
        </w:rPr>
        <w:t>60</w:t>
      </w:r>
      <w:r>
        <w:rPr>
          <w:rFonts w:hint="eastAsia" w:ascii="宋体" w:hAnsi="宋体" w:eastAsia="宋体" w:cs="宋体"/>
          <w:sz w:val="24"/>
          <w:szCs w:val="24"/>
          <w:highlight w:val="none"/>
          <w:lang w:eastAsia="zh-CN"/>
        </w:rPr>
        <w:t>万。</w:t>
      </w:r>
    </w:p>
    <w:p>
      <w:pPr>
        <w:spacing w:after="0"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四、报价要求：</w:t>
      </w:r>
    </w:p>
    <w:p>
      <w:pPr>
        <w:pStyle w:val="50"/>
        <w:widowControl w:val="0"/>
        <w:shd w:val="clear" w:color="auto" w:fill="auto"/>
        <w:spacing w:before="0" w:after="0"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本项目物资采购</w:t>
      </w:r>
      <w:r>
        <w:rPr>
          <w:rFonts w:hint="eastAsia" w:ascii="宋体" w:hAnsi="宋体" w:eastAsia="宋体" w:cs="宋体"/>
          <w:sz w:val="24"/>
          <w:szCs w:val="24"/>
          <w:lang w:val="en-US" w:eastAsia="zh-CN"/>
        </w:rPr>
        <w:t>，各报价单位根据物资清单及注意事项进行各项报价。</w:t>
      </w:r>
    </w:p>
    <w:p>
      <w:pPr>
        <w:pStyle w:val="50"/>
        <w:widowControl w:val="0"/>
        <w:shd w:val="clear" w:color="auto" w:fill="auto"/>
        <w:spacing w:before="0" w:after="0"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.报价单位应充分考虑本项目的实际，依据我公司具体要求，根据企业自身情况以及谈价文件的要求，进行自主报价。</w:t>
      </w:r>
    </w:p>
    <w:p>
      <w:pPr>
        <w:pStyle w:val="50"/>
        <w:widowControl w:val="0"/>
        <w:shd w:val="clear" w:color="auto" w:fill="auto"/>
        <w:spacing w:before="0" w:after="0"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.报价人的投标报价，应是完成本项目范围及供货周期、质量的全部要求的内容。</w:t>
      </w:r>
    </w:p>
    <w:p>
      <w:pPr>
        <w:pStyle w:val="50"/>
        <w:widowControl w:val="0"/>
        <w:shd w:val="clear" w:color="auto" w:fill="auto"/>
        <w:spacing w:before="0" w:after="0"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.投标报价均包括但不限于材料费、吊装费、仓储保管费、运输费、税费、日常维护基本常识培训、质保期维修，利润等一切相关费用，以及报价人在报价前明示或暗示的所有风险、责任和义务。</w:t>
      </w:r>
    </w:p>
    <w:p>
      <w:pPr>
        <w:pStyle w:val="50"/>
        <w:widowControl w:val="0"/>
        <w:shd w:val="clear" w:color="auto" w:fill="auto"/>
        <w:spacing w:before="0" w:after="0"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.报价人应综合考虑各种因素进行报价，凡在报价中未列明的，将视为优惠，认为报价人自行放弃该部分费用，结算时不进行调整。</w:t>
      </w:r>
    </w:p>
    <w:p>
      <w:pPr>
        <w:pStyle w:val="50"/>
        <w:widowControl w:val="0"/>
        <w:shd w:val="clear" w:color="auto" w:fill="auto"/>
        <w:spacing w:before="0" w:after="0"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.报价实行固定总价。</w:t>
      </w:r>
    </w:p>
    <w:p>
      <w:pPr>
        <w:pStyle w:val="50"/>
        <w:widowControl w:val="0"/>
        <w:shd w:val="clear" w:color="auto" w:fill="auto"/>
        <w:spacing w:before="0" w:after="0"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.开具13%增值税专用发票。</w:t>
      </w:r>
    </w:p>
    <w:p>
      <w:pPr>
        <w:pStyle w:val="50"/>
        <w:widowControl w:val="0"/>
        <w:shd w:val="clear" w:color="auto" w:fill="auto"/>
        <w:spacing w:before="0" w:after="0" w:line="360" w:lineRule="auto"/>
        <w:ind w:firstLine="480" w:firstLineChars="20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eastAsia="zh-CN"/>
        </w:rPr>
        <w:t>.付款方式：</w:t>
      </w:r>
    </w:p>
    <w:p>
      <w:pPr>
        <w:pStyle w:val="50"/>
        <w:widowControl w:val="0"/>
        <w:shd w:val="clear" w:color="auto" w:fill="auto"/>
        <w:spacing w:before="0" w:after="0" w:line="360" w:lineRule="auto"/>
        <w:ind w:firstLine="480" w:firstLineChars="20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产品交付经买方验收合格，卖方按照收货数量向买方出具全额增值税专用发票后20个工作日内，买方支付验收合格产品货款的</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u w:val="single"/>
          <w:lang w:val="en-US" w:eastAsia="zh-CN"/>
        </w:rPr>
        <w:t>80</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lang w:eastAsia="zh-CN"/>
        </w:rPr>
        <w:t>%。产品投入使用后</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u w:val="single"/>
          <w:lang w:val="en-US" w:eastAsia="zh-CN"/>
        </w:rPr>
        <w:t>60</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lang w:eastAsia="zh-CN"/>
        </w:rPr>
        <w:t>日无任何质量问题，买方支付货款至</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u w:val="single"/>
          <w:lang w:val="en-US" w:eastAsia="zh-CN"/>
        </w:rPr>
        <w:t xml:space="preserve"> 95  </w:t>
      </w:r>
      <w:r>
        <w:rPr>
          <w:rFonts w:hint="eastAsia" w:ascii="宋体" w:hAnsi="宋体" w:eastAsia="宋体" w:cs="宋体"/>
          <w:sz w:val="24"/>
          <w:szCs w:val="24"/>
          <w:highlight w:val="none"/>
          <w:lang w:eastAsia="zh-CN"/>
        </w:rPr>
        <w:t>%，剩余</w:t>
      </w:r>
      <w:r>
        <w:rPr>
          <w:rFonts w:hint="eastAsia" w:ascii="宋体" w:hAnsi="宋体" w:eastAsia="宋体" w:cs="宋体"/>
          <w:sz w:val="24"/>
          <w:szCs w:val="24"/>
          <w:highlight w:val="none"/>
          <w:u w:val="single"/>
          <w:lang w:val="en-US" w:eastAsia="zh-CN"/>
        </w:rPr>
        <w:t xml:space="preserve">  5  </w:t>
      </w:r>
      <w:r>
        <w:rPr>
          <w:rFonts w:hint="eastAsia" w:ascii="宋体" w:hAnsi="宋体" w:eastAsia="宋体" w:cs="宋体"/>
          <w:sz w:val="24"/>
          <w:szCs w:val="24"/>
          <w:highlight w:val="none"/>
          <w:lang w:eastAsia="zh-CN"/>
        </w:rPr>
        <w:t>%作为质保金，产品质量保证期限届满后</w:t>
      </w:r>
      <w:r>
        <w:rPr>
          <w:rFonts w:hint="eastAsia" w:ascii="宋体" w:hAnsi="宋体" w:eastAsia="宋体" w:cs="宋体"/>
          <w:sz w:val="24"/>
          <w:szCs w:val="24"/>
          <w:highlight w:val="none"/>
          <w:lang w:val="en-US" w:eastAsia="zh-CN"/>
        </w:rPr>
        <w:t>1年</w:t>
      </w:r>
      <w:r>
        <w:rPr>
          <w:rFonts w:hint="eastAsia" w:ascii="宋体" w:hAnsi="宋体" w:eastAsia="宋体" w:cs="宋体"/>
          <w:sz w:val="24"/>
          <w:szCs w:val="24"/>
          <w:highlight w:val="none"/>
          <w:lang w:eastAsia="zh-CN"/>
        </w:rPr>
        <w:t>，如未发生质量问题，买方一次性无息付清质保金。</w:t>
      </w:r>
    </w:p>
    <w:p>
      <w:pPr>
        <w:pStyle w:val="50"/>
        <w:widowControl w:val="0"/>
        <w:shd w:val="clear" w:color="auto" w:fill="auto"/>
        <w:spacing w:before="0" w:after="0" w:line="360" w:lineRule="auto"/>
        <w:ind w:firstLine="480" w:firstLineChars="200"/>
        <w:jc w:val="both"/>
        <w:rPr>
          <w:rFonts w:hint="default" w:ascii="宋体" w:hAnsi="宋体" w:eastAsia="宋体" w:cs="宋体"/>
          <w:sz w:val="24"/>
          <w:szCs w:val="24"/>
          <w:highlight w:val="yellow"/>
          <w:lang w:val="en-US" w:eastAsia="zh-CN"/>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lang w:eastAsia="zh-CN"/>
        </w:rPr>
        <w:t>供货期限：自签订合同之日起，接买方订单计划后</w:t>
      </w:r>
      <w:r>
        <w:rPr>
          <w:rFonts w:hint="eastAsia" w:ascii="宋体" w:hAnsi="宋体" w:eastAsia="宋体" w:cs="宋体"/>
          <w:sz w:val="24"/>
          <w:szCs w:val="24"/>
          <w:highlight w:val="none"/>
          <w:u w:val="single"/>
          <w:lang w:val="en-US" w:eastAsia="zh-CN"/>
        </w:rPr>
        <w:t xml:space="preserve"> 15 日内  </w:t>
      </w:r>
      <w:r>
        <w:rPr>
          <w:rFonts w:hint="eastAsia" w:ascii="宋体" w:hAnsi="宋体" w:eastAsia="宋体" w:cs="宋体"/>
          <w:sz w:val="24"/>
          <w:szCs w:val="24"/>
          <w:highlight w:val="none"/>
          <w:lang w:eastAsia="zh-CN"/>
        </w:rPr>
        <w:t>，签订合</w:t>
      </w:r>
      <w:r>
        <w:rPr>
          <w:rFonts w:hint="eastAsia" w:ascii="宋体" w:hAnsi="宋体" w:eastAsia="宋体" w:cs="宋体"/>
          <w:sz w:val="24"/>
          <w:szCs w:val="24"/>
          <w:lang w:eastAsia="zh-CN"/>
        </w:rPr>
        <w:t>同类型：</w:t>
      </w:r>
      <w:r>
        <w:rPr>
          <w:rFonts w:hint="eastAsia" w:ascii="宋体" w:hAnsi="宋体" w:eastAsia="宋体" w:cs="宋体"/>
          <w:sz w:val="24"/>
          <w:szCs w:val="24"/>
          <w:lang w:val="en-US" w:eastAsia="zh-CN"/>
        </w:rPr>
        <w:t>物资</w:t>
      </w:r>
      <w:r>
        <w:rPr>
          <w:rFonts w:hint="eastAsia" w:ascii="宋体" w:hAnsi="宋体" w:eastAsia="宋体" w:cs="宋体"/>
          <w:sz w:val="24"/>
          <w:szCs w:val="24"/>
          <w:lang w:eastAsia="zh-CN"/>
        </w:rPr>
        <w:t>采购合同</w:t>
      </w:r>
    </w:p>
    <w:p>
      <w:pPr>
        <w:spacing w:after="0"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lang w:val="en-US" w:eastAsia="zh-CN"/>
        </w:rPr>
        <w:t>10</w:t>
      </w:r>
      <w:r>
        <w:rPr>
          <w:rFonts w:hint="eastAsia" w:ascii="宋体" w:hAnsi="宋体" w:eastAsia="宋体" w:cs="宋体"/>
          <w:sz w:val="24"/>
          <w:szCs w:val="24"/>
          <w:lang w:eastAsia="zh-CN"/>
        </w:rPr>
        <w:t>.各单位报价时不允许改动清单顺序，全部报价，分项报价表的类别按照报价清单标注的类别填写。</w:t>
      </w:r>
    </w:p>
    <w:p>
      <w:pPr>
        <w:spacing w:after="0"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五、运输</w:t>
      </w:r>
    </w:p>
    <w:p>
      <w:pPr>
        <w:pStyle w:val="50"/>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1.运杂费：运输及运输费用由中标人承担。一次包死，已包含在合同总价内，包括从产品供应地点到交货地点所包含的运输费、保险费等。</w:t>
      </w:r>
    </w:p>
    <w:p>
      <w:pPr>
        <w:pStyle w:val="50"/>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2.根据材料的特性包装，满足运输要求，负责运输至合同指定的交货地点，并选择运输风险小，成本低，距离短的路线，要符合运输装卸要求，以保证安全无损的运到收货地点。</w:t>
      </w:r>
    </w:p>
    <w:p>
      <w:pPr>
        <w:pStyle w:val="50"/>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3.包装应按国家标准或专业标准规定执行，由于包装不善引起的货物损坏、丢失均有中标人承担。</w:t>
      </w:r>
    </w:p>
    <w:p>
      <w:pPr>
        <w:pStyle w:val="50"/>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4.到货后，招标人依据中标单位提供的清单进行验收。对缺件、质量损坏等做出记录，中标人负责处理。如属运输部门造成的材料破损，缺件等事故由供方负责解决。</w:t>
      </w:r>
    </w:p>
    <w:p>
      <w:pPr>
        <w:pStyle w:val="50"/>
        <w:widowControl w:val="0"/>
        <w:shd w:val="clear" w:color="auto" w:fill="auto"/>
        <w:spacing w:before="0" w:after="0" w:line="360" w:lineRule="auto"/>
        <w:ind w:firstLine="482" w:firstLineChars="200"/>
        <w:jc w:val="both"/>
        <w:rPr>
          <w:rFonts w:hint="eastAsia" w:ascii="宋体" w:hAnsi="宋体" w:eastAsia="宋体" w:cs="宋体"/>
          <w:kern w:val="2"/>
          <w:sz w:val="24"/>
          <w:szCs w:val="24"/>
          <w:lang w:eastAsia="zh-CN"/>
        </w:rPr>
      </w:pPr>
      <w:r>
        <w:rPr>
          <w:rFonts w:hint="eastAsia" w:ascii="宋体" w:hAnsi="宋体" w:eastAsia="宋体" w:cs="宋体"/>
          <w:b/>
          <w:bCs/>
          <w:kern w:val="2"/>
          <w:sz w:val="24"/>
          <w:szCs w:val="24"/>
          <w:lang w:eastAsia="zh-CN"/>
        </w:rPr>
        <w:t>六、质量保证</w:t>
      </w:r>
    </w:p>
    <w:p>
      <w:pPr>
        <w:pStyle w:val="50"/>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1.投标人向招标方交付的产品质量保证期为产品到货验收合格后</w:t>
      </w:r>
      <w:r>
        <w:rPr>
          <w:rFonts w:hint="eastAsia" w:ascii="宋体" w:hAnsi="宋体" w:eastAsia="宋体" w:cs="宋体"/>
          <w:kern w:val="2"/>
          <w:sz w:val="24"/>
          <w:szCs w:val="24"/>
          <w:lang w:val="en-US" w:eastAsia="zh-CN"/>
        </w:rPr>
        <w:t>24</w:t>
      </w:r>
      <w:r>
        <w:rPr>
          <w:rFonts w:hint="eastAsia" w:ascii="宋体" w:hAnsi="宋体" w:eastAsia="宋体" w:cs="宋体"/>
          <w:kern w:val="2"/>
          <w:sz w:val="24"/>
          <w:szCs w:val="24"/>
          <w:lang w:eastAsia="zh-CN"/>
        </w:rPr>
        <w:t>个月。</w:t>
      </w:r>
    </w:p>
    <w:p>
      <w:pPr>
        <w:pStyle w:val="50"/>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2.质量保证期内，投标人应当履行产品质量保证书或售后服务承诺书以及本合同确定的质量保证义务。</w:t>
      </w:r>
    </w:p>
    <w:p>
      <w:pPr>
        <w:pStyle w:val="50"/>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3.质量保证期内，如出现质量问题，投标人在接到招标人通知起 48 小时内给予免费修理或更换。投标人未按本条履行义务，招标人可自行委托他方修理或者自行更换，所产生的费用由卖方按照实际发生金额1.5倍承担，招标人可自行从质保金中扣除，不足部分，投标人仍应当承担赔偿责任。</w:t>
      </w:r>
    </w:p>
    <w:p>
      <w:pPr>
        <w:pStyle w:val="50"/>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4.投标人交付的产品出现质量问题影响买方正常使用，招标人有权选择退货、换货。招标人选择退货时，投标人应当在接到买方退货通知后5日内一次退清货款。招标人选择换货时，投标人应当在接到买方换货通知后3日内免费为招标人调换同品牌同型号同规格的全新产品。</w:t>
      </w:r>
    </w:p>
    <w:p>
      <w:pPr>
        <w:pStyle w:val="50"/>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5.质量保证期内，自送修之日起超过5日未修好的，投标人应当在接到招标人通知后5日内免费为招标人调换同品牌同型号同规格的全新产品。</w:t>
      </w:r>
    </w:p>
    <w:p>
      <w:pPr>
        <w:pStyle w:val="50"/>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6.质量保证期内，发生质量问题，若投标人不能证明系因招标人使用不当所造成，由投标人承担质量责任。</w:t>
      </w:r>
    </w:p>
    <w:p>
      <w:pPr>
        <w:pStyle w:val="50"/>
        <w:widowControl w:val="0"/>
        <w:shd w:val="clear" w:color="auto" w:fill="auto"/>
        <w:spacing w:before="0" w:after="0" w:line="360" w:lineRule="auto"/>
        <w:ind w:firstLine="482" w:firstLineChars="200"/>
        <w:jc w:val="both"/>
        <w:rPr>
          <w:rFonts w:hint="eastAsia" w:ascii="宋体" w:hAnsi="宋体" w:eastAsia="宋体" w:cs="宋体"/>
          <w:b/>
          <w:bCs/>
          <w:kern w:val="2"/>
          <w:sz w:val="24"/>
          <w:szCs w:val="24"/>
          <w:lang w:eastAsia="zh-CN"/>
        </w:rPr>
      </w:pPr>
      <w:r>
        <w:rPr>
          <w:rFonts w:hint="eastAsia" w:ascii="宋体" w:hAnsi="宋体" w:eastAsia="宋体" w:cs="宋体"/>
          <w:b/>
          <w:bCs/>
          <w:kern w:val="2"/>
          <w:sz w:val="24"/>
          <w:szCs w:val="24"/>
          <w:lang w:eastAsia="zh-CN"/>
        </w:rPr>
        <w:t>七、售后服务</w:t>
      </w:r>
    </w:p>
    <w:p>
      <w:pPr>
        <w:pStyle w:val="50"/>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1.卖方在接到通知后24小时内必须响应，且有完善的售后服务措施。</w:t>
      </w:r>
    </w:p>
    <w:p>
      <w:pPr>
        <w:pStyle w:val="50"/>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2.初步验收，产品交付后买方根据本合同约定的产品质量标准对产品的数量、外观质量状况进行初步验收，若有异议，买方有权将存在的产品质量问题及数量通知卖方，经卖方确认后3个工作日内予以更换或退货；若卖方在收到买方的通知后3个工作日未能负责处理，即视为默认买方提出的异议。</w:t>
      </w:r>
    </w:p>
    <w:p>
      <w:pPr>
        <w:pStyle w:val="50"/>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3.隐蔽瑕疵验收，产品经买方初步验收后，根据本合同约定的产品质量标准，买方在产品使用过程中检查发现产品存在隐蔽质量瑕疵的，买方有权将存在的产品质量问题及数量通知卖方，经卖方确认后3日内予以更换或退货；若卖方在收到买方的通知后3个工作日未能负责处理，即视为默认买方提出的异议。</w:t>
      </w:r>
    </w:p>
    <w:p>
      <w:pPr>
        <w:pStyle w:val="50"/>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4.产品质量保证期间发生质量问题，卖方按照投标文件关于质量保证相关约定承担维修、更换、退货义务。</w:t>
      </w:r>
    </w:p>
    <w:p>
      <w:pPr>
        <w:pStyle w:val="50"/>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5.验收纠纷，产品初步验收或隐蔽瑕疵验收过程中双方对产品质量发生争议，经协商无法解决时，以买方住所地具备资格的检验机构出具的质量检验或鉴定结论为准。质检产品不合格的，质检费用由卖方承担，质检合格的，质检费用由买方承担。</w:t>
      </w:r>
    </w:p>
    <w:p>
      <w:pPr>
        <w:pStyle w:val="50"/>
        <w:widowControl w:val="0"/>
        <w:shd w:val="clear" w:color="auto" w:fill="auto"/>
        <w:spacing w:before="0" w:after="0" w:line="360" w:lineRule="auto"/>
        <w:ind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6.产品交付时，卖方应当同时向买方交付产品附件、配件和相应工具等；同时提交产品检验合格证明、使用方法说明书、质量保证或售后服务承诺，否则视为卖方所交付产品不符合本合同约定的质量标准，买方有权拒收货物。</w:t>
      </w:r>
    </w:p>
    <w:p>
      <w:pPr>
        <w:spacing w:after="0"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八</w:t>
      </w:r>
      <w:r>
        <w:rPr>
          <w:rFonts w:hint="eastAsia" w:ascii="宋体" w:hAnsi="宋体" w:eastAsia="宋体" w:cs="宋体"/>
          <w:b/>
          <w:bCs/>
          <w:sz w:val="24"/>
          <w:szCs w:val="24"/>
          <w:lang w:eastAsia="zh-CN"/>
        </w:rPr>
        <w:t>、递交的资料及时间：</w:t>
      </w:r>
    </w:p>
    <w:p>
      <w:pPr>
        <w:numPr>
          <w:ilvl w:val="0"/>
          <w:numId w:val="2"/>
        </w:num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报价表</w:t>
      </w:r>
    </w:p>
    <w:p>
      <w:pPr>
        <w:numPr>
          <w:ilvl w:val="0"/>
          <w:numId w:val="2"/>
        </w:num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商务、技术偏离表</w:t>
      </w:r>
    </w:p>
    <w:p>
      <w:pPr>
        <w:numPr>
          <w:ilvl w:val="0"/>
          <w:numId w:val="2"/>
        </w:num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法人代表授权委托书</w:t>
      </w:r>
    </w:p>
    <w:p>
      <w:pPr>
        <w:numPr>
          <w:ilvl w:val="0"/>
          <w:numId w:val="2"/>
        </w:num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营业执照、开户许可证</w:t>
      </w:r>
    </w:p>
    <w:p>
      <w:pPr>
        <w:numPr>
          <w:ilvl w:val="0"/>
          <w:numId w:val="2"/>
        </w:numPr>
        <w:spacing w:after="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厂家授权书、资质证明文件等其他证明资料</w:t>
      </w:r>
    </w:p>
    <w:p>
      <w:pPr>
        <w:numPr>
          <w:ilvl w:val="0"/>
          <w:numId w:val="2"/>
        </w:numPr>
        <w:spacing w:after="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投标人业绩、实力等其他证明资料（复印件加盖公章）</w:t>
      </w:r>
    </w:p>
    <w:p>
      <w:pPr>
        <w:numPr>
          <w:ilvl w:val="0"/>
          <w:numId w:val="2"/>
        </w:numPr>
        <w:spacing w:after="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投标人在“国家企业信用信息公示系统”网站、“信用中国”网站未被列为失信被执行人（提供查询结果网页截图）未列入《延长石油集团失信交易商名单》（附承诺书加盖公章）</w:t>
      </w:r>
    </w:p>
    <w:p>
      <w:pPr>
        <w:numPr>
          <w:ilvl w:val="0"/>
          <w:numId w:val="2"/>
        </w:num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质量保证和售后服务</w:t>
      </w:r>
    </w:p>
    <w:p>
      <w:pPr>
        <w:numPr>
          <w:ilvl w:val="0"/>
          <w:numId w:val="2"/>
        </w:num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邀请函回执</w:t>
      </w:r>
    </w:p>
    <w:p>
      <w:pPr>
        <w:numPr>
          <w:ilvl w:val="0"/>
          <w:numId w:val="2"/>
        </w:num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报价文件份数及其他要求：</w:t>
      </w:r>
      <w:r>
        <w:rPr>
          <w:rFonts w:hint="eastAsia" w:ascii="宋体" w:hAnsi="宋体" w:eastAsia="宋体" w:cs="宋体"/>
          <w:sz w:val="24"/>
          <w:szCs w:val="24"/>
          <w:lang w:val="zh-CN" w:eastAsia="zh-CN"/>
        </w:rPr>
        <w:t>一套正本、两套副本，</w:t>
      </w:r>
      <w:r>
        <w:rPr>
          <w:rFonts w:hint="eastAsia" w:ascii="宋体" w:hAnsi="宋体" w:eastAsia="宋体" w:cs="宋体"/>
          <w:sz w:val="24"/>
          <w:szCs w:val="24"/>
          <w:lang w:eastAsia="zh-CN"/>
        </w:rPr>
        <w:t>报价文件封面、报价函等应均加盖报价单位印章并经法定代表人或其委托代理人签字（章）。由委托代理人签字或盖章的在报价文件中须同时提交报价文件签署授权委托书。</w:t>
      </w:r>
    </w:p>
    <w:p>
      <w:pPr>
        <w:numPr>
          <w:ilvl w:val="0"/>
          <w:numId w:val="2"/>
        </w:num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除报价单位对错误处须修改外，全套报价文件应无涂改或行间插字和增删。如有修改，修改处应由报价单位加盖报价单位的印章或由报价文件签字人签（章）。</w:t>
      </w:r>
    </w:p>
    <w:p>
      <w:pPr>
        <w:numPr>
          <w:ilvl w:val="0"/>
          <w:numId w:val="2"/>
        </w:num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密封要求：封套上应载明</w:t>
      </w:r>
      <w:r>
        <w:rPr>
          <w:rFonts w:hint="eastAsia" w:ascii="宋体" w:hAnsi="宋体" w:eastAsia="宋体" w:cs="宋体"/>
          <w:sz w:val="24"/>
          <w:szCs w:val="24"/>
          <w:lang w:val="zh-CN" w:eastAsia="zh-CN"/>
        </w:rPr>
        <w:t>报价单位名称、报价单位地址、项目名称，报价文件在</w:t>
      </w:r>
      <w:r>
        <w:rPr>
          <w:rFonts w:hint="eastAsia" w:ascii="宋体" w:hAnsi="宋体" w:eastAsia="宋体" w:cs="宋体"/>
          <w:sz w:val="24"/>
          <w:szCs w:val="24"/>
          <w:lang w:eastAsia="zh-CN"/>
        </w:rPr>
        <w:t>202</w:t>
      </w:r>
      <w:r>
        <w:rPr>
          <w:rFonts w:hint="eastAsia" w:ascii="宋体" w:hAnsi="宋体" w:eastAsia="宋体" w:cs="宋体"/>
          <w:sz w:val="24"/>
          <w:szCs w:val="24"/>
          <w:lang w:val="en-US" w:eastAsia="zh-CN"/>
        </w:rPr>
        <w:t>3</w:t>
      </w:r>
      <w:r>
        <w:rPr>
          <w:rFonts w:hint="eastAsia" w:ascii="宋体" w:hAnsi="宋体" w:eastAsia="宋体" w:cs="宋体"/>
          <w:sz w:val="24"/>
          <w:szCs w:val="24"/>
          <w:lang w:val="zh-CN" w:eastAsia="zh-CN"/>
        </w:rPr>
        <w:t>年</w:t>
      </w:r>
      <w:r>
        <w:rPr>
          <w:rFonts w:hint="eastAsia" w:ascii="宋体" w:hAnsi="宋体" w:cs="宋体"/>
          <w:sz w:val="24"/>
          <w:szCs w:val="24"/>
          <w:lang w:val="en-US" w:eastAsia="zh-CN"/>
        </w:rPr>
        <w:t>9</w:t>
      </w:r>
      <w:r>
        <w:rPr>
          <w:rFonts w:hint="eastAsia" w:ascii="宋体" w:hAnsi="宋体" w:eastAsia="宋体" w:cs="宋体"/>
          <w:sz w:val="24"/>
          <w:szCs w:val="24"/>
          <w:lang w:val="zh-CN" w:eastAsia="zh-CN"/>
        </w:rPr>
        <w:t>月</w:t>
      </w:r>
      <w:r>
        <w:rPr>
          <w:rFonts w:hint="eastAsia" w:ascii="宋体" w:hAnsi="宋体" w:cs="宋体"/>
          <w:sz w:val="24"/>
          <w:szCs w:val="24"/>
          <w:lang w:val="en-US" w:eastAsia="zh-CN"/>
        </w:rPr>
        <w:t xml:space="preserve"> 20 </w:t>
      </w:r>
      <w:r>
        <w:rPr>
          <w:rFonts w:hint="eastAsia" w:ascii="宋体" w:hAnsi="宋体" w:eastAsia="宋体" w:cs="宋体"/>
          <w:sz w:val="24"/>
          <w:szCs w:val="24"/>
          <w:lang w:val="zh-CN" w:eastAsia="zh-CN"/>
        </w:rPr>
        <w:t>日</w:t>
      </w:r>
      <w:r>
        <w:rPr>
          <w:rFonts w:hint="eastAsia" w:ascii="宋体" w:hAnsi="宋体" w:cs="宋体"/>
          <w:sz w:val="24"/>
          <w:szCs w:val="24"/>
          <w:lang w:val="en-US" w:eastAsia="zh-CN"/>
        </w:rPr>
        <w:t xml:space="preserve"> 9点30 </w:t>
      </w:r>
      <w:bookmarkStart w:id="3" w:name="_GoBack"/>
      <w:bookmarkEnd w:id="3"/>
      <w:r>
        <w:rPr>
          <w:rFonts w:hint="eastAsia" w:ascii="宋体" w:hAnsi="宋体" w:eastAsia="宋体" w:cs="宋体"/>
          <w:sz w:val="24"/>
          <w:szCs w:val="24"/>
          <w:lang w:val="zh-CN" w:eastAsia="zh-CN"/>
        </w:rPr>
        <w:t>前不得开启</w:t>
      </w:r>
      <w:r>
        <w:rPr>
          <w:rFonts w:hint="eastAsia" w:ascii="宋体" w:hAnsi="宋体" w:eastAsia="宋体" w:cs="宋体"/>
          <w:sz w:val="24"/>
          <w:szCs w:val="24"/>
          <w:lang w:eastAsia="zh-CN"/>
        </w:rPr>
        <w:t>。</w:t>
      </w:r>
    </w:p>
    <w:p>
      <w:pPr>
        <w:numPr>
          <w:ilvl w:val="0"/>
          <w:numId w:val="2"/>
        </w:num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报价文件递交资料时间：202</w:t>
      </w:r>
      <w:r>
        <w:rPr>
          <w:rFonts w:hint="eastAsia" w:ascii="宋体" w:hAnsi="宋体" w:eastAsia="宋体" w:cs="宋体"/>
          <w:sz w:val="24"/>
          <w:szCs w:val="24"/>
          <w:lang w:val="en-US" w:eastAsia="zh-CN"/>
        </w:rPr>
        <w:t>3</w:t>
      </w:r>
      <w:r>
        <w:rPr>
          <w:rFonts w:hint="eastAsia" w:ascii="宋体" w:hAnsi="宋体" w:eastAsia="宋体" w:cs="宋体"/>
          <w:sz w:val="24"/>
          <w:szCs w:val="24"/>
          <w:lang w:val="zh-CN" w:eastAsia="zh-CN"/>
        </w:rPr>
        <w:t>年</w:t>
      </w:r>
      <w:r>
        <w:rPr>
          <w:rFonts w:hint="eastAsia" w:ascii="宋体" w:hAnsi="宋体" w:cs="宋体"/>
          <w:sz w:val="24"/>
          <w:szCs w:val="24"/>
          <w:lang w:val="en-US" w:eastAsia="zh-CN"/>
        </w:rPr>
        <w:t>9</w:t>
      </w:r>
      <w:r>
        <w:rPr>
          <w:rFonts w:hint="eastAsia" w:ascii="宋体" w:hAnsi="宋体" w:eastAsia="宋体" w:cs="宋体"/>
          <w:sz w:val="24"/>
          <w:szCs w:val="24"/>
          <w:lang w:val="zh-CN" w:eastAsia="zh-CN"/>
        </w:rPr>
        <w:t>月</w:t>
      </w:r>
      <w:r>
        <w:rPr>
          <w:rFonts w:hint="eastAsia" w:ascii="宋体" w:hAnsi="宋体" w:cs="宋体"/>
          <w:sz w:val="24"/>
          <w:szCs w:val="24"/>
          <w:lang w:val="en-US" w:eastAsia="zh-CN"/>
        </w:rPr>
        <w:t xml:space="preserve"> 20 </w:t>
      </w:r>
      <w:r>
        <w:rPr>
          <w:rFonts w:hint="eastAsia" w:ascii="宋体" w:hAnsi="宋体" w:eastAsia="宋体" w:cs="宋体"/>
          <w:sz w:val="24"/>
          <w:szCs w:val="24"/>
          <w:lang w:val="zh-CN" w:eastAsia="zh-CN"/>
        </w:rPr>
        <w:t>日</w:t>
      </w:r>
      <w:r>
        <w:rPr>
          <w:rFonts w:hint="eastAsia" w:ascii="宋体" w:hAnsi="宋体" w:cs="宋体"/>
          <w:sz w:val="24"/>
          <w:szCs w:val="24"/>
          <w:lang w:val="en-US" w:eastAsia="zh-CN"/>
        </w:rPr>
        <w:t xml:space="preserve"> 9点30 </w:t>
      </w:r>
      <w:r>
        <w:rPr>
          <w:rFonts w:hint="eastAsia" w:ascii="宋体" w:hAnsi="宋体" w:eastAsia="宋体" w:cs="宋体"/>
          <w:sz w:val="24"/>
          <w:szCs w:val="24"/>
          <w:lang w:eastAsia="zh-CN"/>
        </w:rPr>
        <w:t>前，地点为西安市高陵区中钢大道陕西燃气集团工程有限公司二楼会议室。逾期送达的或者未送达指定地点的报价文件，逾期恕不接受。</w:t>
      </w:r>
    </w:p>
    <w:p>
      <w:pPr>
        <w:spacing w:after="0"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九</w:t>
      </w:r>
      <w:r>
        <w:rPr>
          <w:rFonts w:hint="eastAsia" w:ascii="宋体" w:hAnsi="宋体" w:eastAsia="宋体" w:cs="宋体"/>
          <w:b/>
          <w:bCs/>
          <w:sz w:val="24"/>
          <w:szCs w:val="24"/>
          <w:lang w:eastAsia="zh-CN"/>
        </w:rPr>
        <w:t>、联系方式：</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地    址</w:t>
      </w:r>
      <w:r>
        <w:rPr>
          <w:rFonts w:hint="eastAsia" w:ascii="宋体" w:hAnsi="宋体" w:eastAsia="宋体" w:cs="宋体"/>
          <w:sz w:val="24"/>
          <w:szCs w:val="24"/>
          <w:highlight w:val="none"/>
          <w:lang w:val="zh-TW" w:eastAsia="zh-CN"/>
        </w:rPr>
        <w:t>：</w:t>
      </w:r>
      <w:r>
        <w:rPr>
          <w:rFonts w:hint="eastAsia" w:ascii="宋体" w:hAnsi="宋体" w:eastAsia="宋体" w:cs="宋体"/>
          <w:sz w:val="24"/>
          <w:szCs w:val="24"/>
          <w:highlight w:val="none"/>
          <w:lang w:eastAsia="zh-CN"/>
        </w:rPr>
        <w:t>西安市高陵区中钢大道中段</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项目技术</w:t>
      </w:r>
      <w:r>
        <w:rPr>
          <w:rFonts w:hint="eastAsia" w:ascii="宋体" w:hAnsi="宋体" w:eastAsia="宋体" w:cs="宋体"/>
          <w:sz w:val="24"/>
          <w:szCs w:val="24"/>
          <w:highlight w:val="none"/>
          <w:lang w:val="en-US" w:eastAsia="zh-CN"/>
        </w:rPr>
        <w:t>联系人：常志帅                  联系电话：18303410687</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项目    联系人：石明岐                  联系电话：18629003542 </w:t>
      </w:r>
    </w:p>
    <w:p>
      <w:pPr>
        <w:spacing w:after="0"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十</w:t>
      </w:r>
      <w:r>
        <w:rPr>
          <w:rFonts w:hint="eastAsia" w:ascii="宋体" w:hAnsi="宋体" w:eastAsia="宋体" w:cs="宋体"/>
          <w:b/>
          <w:bCs/>
          <w:sz w:val="24"/>
          <w:szCs w:val="24"/>
          <w:lang w:eastAsia="zh-CN"/>
        </w:rPr>
        <w:t>、评审方法</w:t>
      </w:r>
    </w:p>
    <w:tbl>
      <w:tblPr>
        <w:tblStyle w:val="19"/>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7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5" w:type="dxa"/>
            <w:vAlign w:val="center"/>
          </w:tcPr>
          <w:p>
            <w:pPr>
              <w:keepNext w:val="0"/>
              <w:keepLines w:val="0"/>
              <w:pageBreakBefore w:val="0"/>
              <w:kinsoku/>
              <w:wordWrap/>
              <w:overflowPunct/>
              <w:topLinePunct w:val="0"/>
              <w:autoSpaceDE w:val="0"/>
              <w:autoSpaceDN w:val="0"/>
              <w:bidi w:val="0"/>
              <w:adjustRightInd/>
              <w:snapToGrid/>
              <w:spacing w:beforeAutospacing="0" w:afterAutospacing="0" w:line="240" w:lineRule="auto"/>
              <w:ind w:left="0" w:leftChars="0"/>
              <w:jc w:val="center"/>
              <w:textAlignment w:val="auto"/>
              <w:rPr>
                <w:rFonts w:hint="eastAsia" w:ascii="宋体" w:hAnsi="宋体" w:eastAsia="宋体" w:cs="宋体"/>
                <w:b/>
                <w:sz w:val="24"/>
                <w:szCs w:val="24"/>
              </w:rPr>
            </w:pPr>
            <w:r>
              <w:rPr>
                <w:rFonts w:hint="eastAsia" w:ascii="宋体" w:hAnsi="宋体" w:eastAsia="宋体" w:cs="宋体"/>
                <w:b/>
                <w:sz w:val="24"/>
                <w:szCs w:val="24"/>
              </w:rPr>
              <w:t>评审因素</w:t>
            </w:r>
          </w:p>
        </w:tc>
        <w:tc>
          <w:tcPr>
            <w:tcW w:w="7842" w:type="dxa"/>
            <w:vAlign w:val="center"/>
          </w:tcPr>
          <w:p>
            <w:pPr>
              <w:keepNext w:val="0"/>
              <w:keepLines w:val="0"/>
              <w:pageBreakBefore w:val="0"/>
              <w:kinsoku/>
              <w:wordWrap/>
              <w:overflowPunct/>
              <w:topLinePunct w:val="0"/>
              <w:autoSpaceDE w:val="0"/>
              <w:autoSpaceDN w:val="0"/>
              <w:bidi w:val="0"/>
              <w:adjustRightInd/>
              <w:snapToGrid/>
              <w:spacing w:beforeAutospacing="0" w:after="0" w:afterAutospacing="0" w:line="240" w:lineRule="auto"/>
              <w:ind w:left="0" w:leftChars="0"/>
              <w:jc w:val="center"/>
              <w:textAlignment w:val="auto"/>
              <w:rPr>
                <w:rFonts w:hint="eastAsia" w:ascii="宋体" w:hAnsi="宋体" w:eastAsia="宋体" w:cs="宋体"/>
                <w:b/>
                <w:sz w:val="24"/>
                <w:szCs w:val="24"/>
              </w:rPr>
            </w:pPr>
            <w:r>
              <w:rPr>
                <w:rFonts w:hint="eastAsia" w:ascii="宋体" w:hAnsi="宋体" w:eastAsia="宋体" w:cs="宋体"/>
                <w:b/>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97" w:type="dxa"/>
            <w:gridSpan w:val="2"/>
            <w:vAlign w:val="center"/>
          </w:tcPr>
          <w:p>
            <w:pPr>
              <w:keepNext w:val="0"/>
              <w:keepLines w:val="0"/>
              <w:pageBreakBefore w:val="0"/>
              <w:kinsoku/>
              <w:wordWrap/>
              <w:overflowPunct/>
              <w:topLinePunct w:val="0"/>
              <w:bidi w:val="0"/>
              <w:adjustRightInd/>
              <w:snapToGrid/>
              <w:spacing w:beforeAutospacing="0" w:after="0" w:afterAutospacing="0" w:line="240" w:lineRule="auto"/>
              <w:ind w:left="0" w:lef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初步评审标准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755" w:type="dxa"/>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初步评审标准(此项不符合要求将取消资格)</w:t>
            </w:r>
          </w:p>
        </w:tc>
        <w:tc>
          <w:tcPr>
            <w:tcW w:w="7842" w:type="dxa"/>
            <w:vAlign w:val="center"/>
          </w:tcPr>
          <w:p>
            <w:pPr>
              <w:keepNext w:val="0"/>
              <w:keepLines w:val="0"/>
              <w:pageBreakBefore w:val="0"/>
              <w:widowControl/>
              <w:tabs>
                <w:tab w:val="left" w:pos="312"/>
              </w:tabs>
              <w:kinsoku/>
              <w:wordWrap/>
              <w:overflowPunct/>
              <w:topLinePunct w:val="0"/>
              <w:autoSpaceDE/>
              <w:autoSpaceDN/>
              <w:bidi w:val="0"/>
              <w:adjustRightInd/>
              <w:snapToGrid/>
              <w:spacing w:beforeAutospacing="0" w:after="0" w:afterAutospacing="0" w:line="240" w:lineRule="auto"/>
              <w:ind w:left="0" w:left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1.相关证件名称、地址等信息真实、一致；</w:t>
            </w:r>
          </w:p>
          <w:p>
            <w:pPr>
              <w:keepNext w:val="0"/>
              <w:keepLines w:val="0"/>
              <w:pageBreakBefore w:val="0"/>
              <w:widowControl/>
              <w:tabs>
                <w:tab w:val="left" w:pos="312"/>
              </w:tabs>
              <w:kinsoku/>
              <w:wordWrap/>
              <w:overflowPunct/>
              <w:topLinePunct w:val="0"/>
              <w:autoSpaceDE/>
              <w:autoSpaceDN/>
              <w:bidi w:val="0"/>
              <w:adjustRightInd/>
              <w:snapToGrid/>
              <w:spacing w:beforeAutospacing="0" w:after="0" w:afterAutospacing="0" w:line="240" w:lineRule="auto"/>
              <w:ind w:left="0" w:left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2.投标人在“国家企业信用信息公示系统”网站、“信用中国”网站未被列为失信被执行人（提供查询结果网页截图）；</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3.业绩真实有效</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755" w:type="dxa"/>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详细评审标准</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(总分100分)</w:t>
            </w:r>
          </w:p>
        </w:tc>
        <w:tc>
          <w:tcPr>
            <w:tcW w:w="7842" w:type="dxa"/>
            <w:vAlign w:val="center"/>
          </w:tcPr>
          <w:p>
            <w:pPr>
              <w:pStyle w:val="55"/>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总</w:t>
            </w:r>
            <w:r>
              <w:rPr>
                <w:rFonts w:hint="eastAsia" w:ascii="宋体" w:hAnsi="宋体" w:eastAsia="宋体" w:cs="宋体"/>
                <w:sz w:val="24"/>
                <w:szCs w:val="24"/>
                <w:highlight w:val="none"/>
                <w:lang w:eastAsia="zh-CN"/>
              </w:rPr>
              <w:t>评价分=技术分×</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lang w:eastAsia="zh-CN"/>
              </w:rPr>
              <w:t>% + 商务分×</w:t>
            </w:r>
            <w:r>
              <w:rPr>
                <w:rFonts w:hint="eastAsia" w:ascii="宋体" w:hAnsi="宋体" w:eastAsia="宋体" w:cs="宋体"/>
                <w:sz w:val="24"/>
                <w:szCs w:val="24"/>
                <w:highlight w:val="none"/>
                <w:lang w:val="en-US" w:eastAsia="zh-CN"/>
              </w:rPr>
              <w:t>70</w:t>
            </w:r>
            <w:r>
              <w:rPr>
                <w:rFonts w:hint="eastAsia" w:ascii="宋体" w:hAnsi="宋体" w:eastAsia="宋体" w:cs="宋体"/>
                <w:sz w:val="24"/>
                <w:szCs w:val="24"/>
                <w:highlight w:val="none"/>
                <w:lang w:eastAsia="zh-CN"/>
              </w:rPr>
              <w:t xml:space="preserve">% </w:t>
            </w:r>
            <w:r>
              <w:rPr>
                <w:rFonts w:hint="eastAsia" w:ascii="宋体" w:hAnsi="宋体" w:eastAsia="宋体" w:cs="宋体"/>
                <w:sz w:val="24"/>
                <w:szCs w:val="24"/>
                <w:lang w:eastAsia="zh-CN"/>
              </w:rPr>
              <w:t>，按四舍五入原则保留2位小数。</w:t>
            </w:r>
          </w:p>
        </w:tc>
      </w:tr>
    </w:tbl>
    <w:p>
      <w:pPr>
        <w:keepNext w:val="0"/>
        <w:keepLines w:val="0"/>
        <w:pageBreakBefore w:val="0"/>
        <w:shd w:val="clear" w:color="auto" w:fill="FFFFFF"/>
        <w:kinsoku/>
        <w:wordWrap/>
        <w:overflowPunct/>
        <w:topLinePunct w:val="0"/>
        <w:bidi w:val="0"/>
        <w:adjustRightInd/>
        <w:snapToGrid/>
        <w:spacing w:beforeAutospacing="0" w:afterAutospacing="0" w:line="240" w:lineRule="auto"/>
        <w:ind w:left="0" w:leftChars="0" w:firstLine="200"/>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评分细则</w:t>
      </w:r>
    </w:p>
    <w:tbl>
      <w:tblPr>
        <w:tblStyle w:val="19"/>
        <w:tblW w:w="9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0"/>
        <w:gridCol w:w="980"/>
        <w:gridCol w:w="7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960" w:type="dxa"/>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类别</w:t>
            </w:r>
          </w:p>
        </w:tc>
        <w:tc>
          <w:tcPr>
            <w:tcW w:w="980" w:type="dxa"/>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总分</w:t>
            </w:r>
          </w:p>
        </w:tc>
        <w:tc>
          <w:tcPr>
            <w:tcW w:w="7755" w:type="dxa"/>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80" w:hRule="atLeast"/>
          <w:jc w:val="center"/>
        </w:trPr>
        <w:tc>
          <w:tcPr>
            <w:tcW w:w="960" w:type="dxa"/>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商务</w:t>
            </w:r>
          </w:p>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部分</w:t>
            </w:r>
          </w:p>
        </w:tc>
        <w:tc>
          <w:tcPr>
            <w:tcW w:w="980" w:type="dxa"/>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sz w:val="24"/>
                <w:szCs w:val="24"/>
              </w:rPr>
            </w:pPr>
            <w:r>
              <w:rPr>
                <w:rFonts w:hint="eastAsia" w:ascii="宋体" w:hAnsi="宋体" w:eastAsia="宋体" w:cs="宋体"/>
                <w:sz w:val="24"/>
                <w:szCs w:val="24"/>
              </w:rPr>
              <w:t>100分</w:t>
            </w:r>
          </w:p>
        </w:tc>
        <w:tc>
          <w:tcPr>
            <w:tcW w:w="7755" w:type="dxa"/>
            <w:tcMar>
              <w:top w:w="0" w:type="dxa"/>
              <w:left w:w="108" w:type="dxa"/>
              <w:bottom w:w="0" w:type="dxa"/>
              <w:right w:w="108" w:type="dxa"/>
            </w:tcMar>
            <w:vAlign w:val="center"/>
          </w:tcPr>
          <w:p>
            <w:pPr>
              <w:keepNext w:val="0"/>
              <w:keepLines w:val="0"/>
              <w:pageBreakBefore w:val="0"/>
              <w:kinsoku/>
              <w:wordWrap/>
              <w:overflowPunct/>
              <w:topLinePunct w:val="0"/>
              <w:bidi w:val="0"/>
              <w:adjustRightInd/>
              <w:snapToGrid/>
              <w:spacing w:beforeAutospacing="0" w:after="0" w:afterAutospacing="0" w:line="240" w:lineRule="auto"/>
              <w:ind w:left="0" w:leftChars="0" w:firstLine="120" w:firstLineChars="5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1.经初审合格的投标响应文件，其报价为有效投标报价。</w:t>
            </w:r>
          </w:p>
          <w:p>
            <w:pPr>
              <w:keepNext w:val="0"/>
              <w:keepLines w:val="0"/>
              <w:pageBreakBefore w:val="0"/>
              <w:kinsoku/>
              <w:wordWrap/>
              <w:overflowPunct/>
              <w:topLinePunct w:val="0"/>
              <w:bidi w:val="0"/>
              <w:adjustRightInd/>
              <w:snapToGrid/>
              <w:spacing w:beforeAutospacing="0" w:after="0" w:afterAutospacing="0" w:line="240" w:lineRule="auto"/>
              <w:ind w:left="0" w:leftChars="0" w:firstLine="120" w:firstLineChars="5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2.满足实质性要求并且完全响应报价要求的各投标人报价的</w:t>
            </w:r>
            <w:r>
              <w:rPr>
                <w:rFonts w:hint="eastAsia" w:ascii="宋体" w:hAnsi="宋体" w:cs="宋体"/>
                <w:sz w:val="24"/>
                <w:szCs w:val="24"/>
                <w:lang w:val="en-US" w:eastAsia="zh-CN"/>
              </w:rPr>
              <w:t>最低价</w:t>
            </w:r>
            <w:r>
              <w:rPr>
                <w:rFonts w:hint="eastAsia" w:ascii="宋体" w:hAnsi="宋体" w:eastAsia="宋体" w:cs="宋体"/>
                <w:sz w:val="24"/>
                <w:szCs w:val="24"/>
                <w:lang w:val="en-US" w:eastAsia="zh-CN"/>
              </w:rPr>
              <w:t>作为基准价</w:t>
            </w:r>
            <w:r>
              <w:rPr>
                <w:rFonts w:hint="eastAsia" w:ascii="宋体" w:hAnsi="宋体" w:eastAsia="宋体" w:cs="宋体"/>
                <w:sz w:val="24"/>
                <w:szCs w:val="24"/>
                <w:lang w:eastAsia="zh-CN"/>
              </w:rPr>
              <w:t>。</w:t>
            </w:r>
          </w:p>
          <w:p>
            <w:pPr>
              <w:keepNext w:val="0"/>
              <w:keepLines w:val="0"/>
              <w:pageBreakBefore w:val="0"/>
              <w:kinsoku/>
              <w:wordWrap/>
              <w:overflowPunct/>
              <w:topLinePunct w:val="0"/>
              <w:bidi w:val="0"/>
              <w:adjustRightInd/>
              <w:snapToGrid/>
              <w:spacing w:beforeAutospacing="0" w:after="0" w:afterAutospacing="0" w:line="240" w:lineRule="auto"/>
              <w:ind w:left="0" w:leftChars="0" w:firstLine="120" w:firstLineChars="50"/>
              <w:textAlignment w:val="auto"/>
              <w:rPr>
                <w:rFonts w:hint="eastAsia" w:ascii="宋体" w:hAnsi="宋体" w:cs="宋体"/>
                <w:sz w:val="24"/>
                <w:szCs w:val="24"/>
                <w:lang w:eastAsia="zh-CN"/>
              </w:rPr>
            </w:pPr>
            <w:r>
              <w:rPr>
                <w:rFonts w:hint="eastAsia" w:ascii="宋体" w:hAnsi="宋体" w:eastAsia="宋体" w:cs="宋体"/>
                <w:sz w:val="24"/>
                <w:szCs w:val="24"/>
                <w:lang w:eastAsia="zh-CN"/>
              </w:rPr>
              <w:t>3.报价得分：最终报价高于投标基准价：每高于基准价1%，扣1分</w:t>
            </w:r>
            <w:r>
              <w:rPr>
                <w:rFonts w:hint="eastAsia" w:ascii="宋体" w:hAnsi="宋体" w:cs="宋体"/>
                <w:sz w:val="24"/>
                <w:szCs w:val="24"/>
                <w:lang w:eastAsia="zh-CN"/>
              </w:rPr>
              <w:t>。</w:t>
            </w:r>
          </w:p>
          <w:p>
            <w:pPr>
              <w:keepNext w:val="0"/>
              <w:keepLines w:val="0"/>
              <w:pageBreakBefore w:val="0"/>
              <w:kinsoku/>
              <w:wordWrap/>
              <w:overflowPunct/>
              <w:topLinePunct w:val="0"/>
              <w:bidi w:val="0"/>
              <w:adjustRightInd/>
              <w:snapToGrid/>
              <w:spacing w:beforeAutospacing="0" w:after="0" w:afterAutospacing="0" w:line="240" w:lineRule="auto"/>
              <w:ind w:left="0" w:leftChars="0" w:firstLine="120" w:firstLineChars="5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4.报价不完整的，不进入评标标准价的计算，本项得0分。</w:t>
            </w:r>
          </w:p>
          <w:p>
            <w:pPr>
              <w:keepNext w:val="0"/>
              <w:keepLines w:val="0"/>
              <w:pageBreakBefore w:val="0"/>
              <w:kinsoku/>
              <w:wordWrap/>
              <w:overflowPunct/>
              <w:topLinePunct w:val="0"/>
              <w:bidi w:val="0"/>
              <w:adjustRightInd/>
              <w:snapToGrid/>
              <w:spacing w:beforeAutospacing="0" w:after="0" w:afterAutospacing="0" w:line="240" w:lineRule="auto"/>
              <w:ind w:left="0" w:leftChars="0" w:firstLine="120" w:firstLineChars="5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5.经评委一致认定，投标最终总报价低于成本价，其响应将被拒绝。</w:t>
            </w:r>
          </w:p>
        </w:tc>
      </w:tr>
    </w:tbl>
    <w:p>
      <w:pPr>
        <w:rPr>
          <w:rFonts w:hint="eastAsia" w:ascii="宋体" w:hAnsi="宋体" w:eastAsia="宋体" w:cs="宋体"/>
          <w:b/>
          <w:bCs/>
          <w:sz w:val="24"/>
          <w:szCs w:val="24"/>
        </w:rPr>
      </w:pPr>
      <w:r>
        <w:rPr>
          <w:rFonts w:hint="eastAsia" w:ascii="宋体" w:hAnsi="宋体" w:eastAsia="宋体" w:cs="宋体"/>
          <w:b/>
          <w:bCs/>
          <w:sz w:val="24"/>
          <w:szCs w:val="24"/>
        </w:rPr>
        <w:br w:type="page"/>
      </w:r>
    </w:p>
    <w:p>
      <w:pPr>
        <w:keepNext w:val="0"/>
        <w:keepLines w:val="0"/>
        <w:pageBreakBefore w:val="0"/>
        <w:kinsoku/>
        <w:wordWrap/>
        <w:overflowPunct/>
        <w:topLinePunct w:val="0"/>
        <w:bidi w:val="0"/>
        <w:adjustRightInd/>
        <w:snapToGrid/>
        <w:spacing w:beforeAutospacing="0" w:afterAutospacing="0" w:line="240" w:lineRule="auto"/>
        <w:ind w:left="0" w:leftChars="0"/>
        <w:jc w:val="center"/>
        <w:textAlignment w:val="auto"/>
        <w:rPr>
          <w:rFonts w:hint="eastAsia" w:ascii="宋体" w:hAnsi="宋体" w:eastAsia="宋体" w:cs="宋体"/>
          <w:sz w:val="24"/>
          <w:szCs w:val="24"/>
        </w:rPr>
      </w:pPr>
      <w:r>
        <w:rPr>
          <w:rFonts w:hint="eastAsia" w:ascii="宋体" w:hAnsi="宋体" w:eastAsia="宋体" w:cs="宋体"/>
          <w:b/>
          <w:bCs/>
          <w:sz w:val="24"/>
          <w:szCs w:val="24"/>
        </w:rPr>
        <w:t>技术标评分细则</w:t>
      </w:r>
    </w:p>
    <w:tbl>
      <w:tblPr>
        <w:tblStyle w:val="19"/>
        <w:tblW w:w="973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54"/>
        <w:gridCol w:w="719"/>
        <w:gridCol w:w="1087"/>
        <w:gridCol w:w="1150"/>
        <w:gridCol w:w="582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2" w:hRule="atLeast"/>
          <w:jc w:val="center"/>
        </w:trPr>
        <w:tc>
          <w:tcPr>
            <w:tcW w:w="954"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类别</w:t>
            </w:r>
          </w:p>
        </w:tc>
        <w:tc>
          <w:tcPr>
            <w:tcW w:w="71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总分</w:t>
            </w:r>
          </w:p>
        </w:tc>
        <w:tc>
          <w:tcPr>
            <w:tcW w:w="1087"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评审</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内容</w:t>
            </w:r>
          </w:p>
        </w:tc>
        <w:tc>
          <w:tcPr>
            <w:tcW w:w="1150"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标准分值</w:t>
            </w:r>
          </w:p>
        </w:tc>
        <w:tc>
          <w:tcPr>
            <w:tcW w:w="5829"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评  分  标  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134" w:hRule="atLeast"/>
          <w:jc w:val="center"/>
        </w:trPr>
        <w:tc>
          <w:tcPr>
            <w:tcW w:w="954" w:type="dxa"/>
            <w:vMerge w:val="restart"/>
            <w:vAlign w:val="center"/>
          </w:tcPr>
          <w:p>
            <w:pPr>
              <w:spacing w:line="400"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技术</w:t>
            </w:r>
          </w:p>
          <w:p>
            <w:pPr>
              <w:spacing w:line="400"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部分</w:t>
            </w:r>
          </w:p>
        </w:tc>
        <w:tc>
          <w:tcPr>
            <w:tcW w:w="719" w:type="dxa"/>
            <w:vMerge w:val="restart"/>
            <w:vAlign w:val="center"/>
          </w:tcPr>
          <w:p>
            <w:pPr>
              <w:spacing w:after="0"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100分</w:t>
            </w:r>
          </w:p>
        </w:tc>
        <w:tc>
          <w:tcPr>
            <w:tcW w:w="1087" w:type="dxa"/>
            <w:tcMar>
              <w:top w:w="0" w:type="dxa"/>
              <w:left w:w="108" w:type="dxa"/>
              <w:bottom w:w="0" w:type="dxa"/>
              <w:right w:w="108" w:type="dxa"/>
            </w:tcMar>
            <w:vAlign w:val="center"/>
          </w:tcPr>
          <w:p>
            <w:pPr>
              <w:spacing w:after="0" w:line="240" w:lineRule="auto"/>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配送周期</w:t>
            </w:r>
          </w:p>
        </w:tc>
        <w:tc>
          <w:tcPr>
            <w:tcW w:w="1150" w:type="dxa"/>
            <w:tcMar>
              <w:top w:w="0" w:type="dxa"/>
              <w:left w:w="108" w:type="dxa"/>
              <w:bottom w:w="0" w:type="dxa"/>
              <w:right w:w="108" w:type="dxa"/>
            </w:tcMar>
            <w:vAlign w:val="center"/>
          </w:tcPr>
          <w:p>
            <w:pPr>
              <w:spacing w:after="0" w:line="240" w:lineRule="auto"/>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30</w:t>
            </w:r>
            <w:r>
              <w:rPr>
                <w:rFonts w:hint="eastAsia" w:ascii="宋体" w:hAnsi="宋体" w:eastAsia="宋体" w:cs="宋体"/>
                <w:sz w:val="21"/>
                <w:szCs w:val="21"/>
                <w:lang w:eastAsia="zh-CN"/>
              </w:rPr>
              <w:t>分</w:t>
            </w:r>
          </w:p>
        </w:tc>
        <w:tc>
          <w:tcPr>
            <w:tcW w:w="5829" w:type="dxa"/>
            <w:tcMar>
              <w:top w:w="0" w:type="dxa"/>
              <w:left w:w="108" w:type="dxa"/>
              <w:bottom w:w="0" w:type="dxa"/>
              <w:right w:w="108" w:type="dxa"/>
            </w:tcMar>
            <w:vAlign w:val="center"/>
          </w:tcPr>
          <w:p>
            <w:pPr>
              <w:spacing w:after="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按</w:t>
            </w:r>
            <w:r>
              <w:rPr>
                <w:rFonts w:hint="eastAsia" w:ascii="宋体" w:hAnsi="宋体" w:eastAsia="宋体" w:cs="宋体"/>
                <w:sz w:val="21"/>
                <w:szCs w:val="21"/>
                <w:lang w:val="en-US" w:eastAsia="zh-CN"/>
              </w:rPr>
              <w:t>招标</w:t>
            </w:r>
            <w:r>
              <w:rPr>
                <w:rFonts w:hint="eastAsia" w:ascii="宋体" w:hAnsi="宋体" w:eastAsia="宋体" w:cs="宋体"/>
                <w:sz w:val="21"/>
                <w:szCs w:val="21"/>
                <w:lang w:eastAsia="zh-CN"/>
              </w:rPr>
              <w:t>文件要求供货期进行评比，满足要求得基本分</w:t>
            </w:r>
            <w:r>
              <w:rPr>
                <w:rFonts w:hint="eastAsia" w:ascii="宋体" w:hAnsi="宋体" w:eastAsia="宋体" w:cs="宋体"/>
                <w:sz w:val="21"/>
                <w:szCs w:val="21"/>
                <w:lang w:val="en-US" w:eastAsia="zh-CN"/>
              </w:rPr>
              <w:t>20</w:t>
            </w:r>
            <w:r>
              <w:rPr>
                <w:rFonts w:hint="eastAsia" w:ascii="宋体" w:hAnsi="宋体" w:eastAsia="宋体" w:cs="宋体"/>
                <w:sz w:val="21"/>
                <w:szCs w:val="21"/>
                <w:lang w:eastAsia="zh-CN"/>
              </w:rPr>
              <w:t>分，每提前一天加</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分，最</w:t>
            </w:r>
            <w:r>
              <w:rPr>
                <w:rFonts w:hint="eastAsia" w:ascii="宋体" w:hAnsi="宋体" w:eastAsia="宋体" w:cs="宋体"/>
                <w:sz w:val="21"/>
                <w:szCs w:val="21"/>
                <w:lang w:val="en-US" w:eastAsia="zh-CN"/>
              </w:rPr>
              <w:t>高加10</w:t>
            </w:r>
            <w:r>
              <w:rPr>
                <w:rFonts w:hint="eastAsia" w:ascii="宋体" w:hAnsi="宋体" w:eastAsia="宋体" w:cs="宋体"/>
                <w:sz w:val="21"/>
                <w:szCs w:val="21"/>
                <w:lang w:eastAsia="zh-CN"/>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134" w:hRule="atLeast"/>
          <w:jc w:val="center"/>
        </w:trPr>
        <w:tc>
          <w:tcPr>
            <w:tcW w:w="954" w:type="dxa"/>
            <w:vMerge w:val="continue"/>
            <w:vAlign w:val="center"/>
          </w:tcPr>
          <w:p>
            <w:pPr>
              <w:spacing w:after="0" w:line="240" w:lineRule="auto"/>
              <w:rPr>
                <w:rFonts w:hint="eastAsia" w:ascii="宋体" w:hAnsi="宋体" w:eastAsia="宋体" w:cs="宋体"/>
                <w:sz w:val="21"/>
                <w:szCs w:val="21"/>
                <w:lang w:eastAsia="zh-CN"/>
              </w:rPr>
            </w:pPr>
          </w:p>
        </w:tc>
        <w:tc>
          <w:tcPr>
            <w:tcW w:w="719" w:type="dxa"/>
            <w:vMerge w:val="continue"/>
            <w:vAlign w:val="center"/>
          </w:tcPr>
          <w:p>
            <w:pPr>
              <w:spacing w:after="0" w:line="240" w:lineRule="auto"/>
              <w:rPr>
                <w:rFonts w:hint="eastAsia" w:ascii="宋体" w:hAnsi="宋体" w:eastAsia="宋体" w:cs="宋体"/>
                <w:sz w:val="21"/>
                <w:szCs w:val="21"/>
                <w:lang w:eastAsia="zh-CN"/>
              </w:rPr>
            </w:pPr>
          </w:p>
        </w:tc>
        <w:tc>
          <w:tcPr>
            <w:tcW w:w="1087" w:type="dxa"/>
            <w:tcMar>
              <w:top w:w="0" w:type="dxa"/>
              <w:left w:w="108" w:type="dxa"/>
              <w:bottom w:w="0" w:type="dxa"/>
              <w:right w:w="108" w:type="dxa"/>
            </w:tcMar>
            <w:vAlign w:val="center"/>
          </w:tcPr>
          <w:p>
            <w:pPr>
              <w:spacing w:after="0" w:line="240" w:lineRule="auto"/>
              <w:jc w:val="center"/>
              <w:rPr>
                <w:rFonts w:hint="eastAsia" w:ascii="宋体" w:hAnsi="宋体" w:eastAsia="宋体" w:cs="宋体"/>
                <w:sz w:val="21"/>
                <w:szCs w:val="21"/>
                <w:lang w:val="en-US" w:eastAsia="zh-CN" w:bidi="ar-SA"/>
              </w:rPr>
            </w:pPr>
            <w:r>
              <w:rPr>
                <w:rFonts w:hint="eastAsia" w:ascii="宋体" w:hAnsi="宋体" w:eastAsia="宋体" w:cs="宋体"/>
                <w:sz w:val="21"/>
                <w:szCs w:val="21"/>
              </w:rPr>
              <w:t>业绩</w:t>
            </w:r>
            <w:r>
              <w:rPr>
                <w:rFonts w:hint="eastAsia" w:ascii="宋体" w:hAnsi="宋体" w:eastAsia="宋体" w:cs="宋体"/>
                <w:sz w:val="21"/>
                <w:szCs w:val="21"/>
                <w:lang w:eastAsia="zh-CN"/>
              </w:rPr>
              <w:t>及实力证明</w:t>
            </w:r>
          </w:p>
        </w:tc>
        <w:tc>
          <w:tcPr>
            <w:tcW w:w="1150" w:type="dxa"/>
            <w:tcMar>
              <w:top w:w="0" w:type="dxa"/>
              <w:left w:w="108" w:type="dxa"/>
              <w:bottom w:w="0" w:type="dxa"/>
              <w:right w:w="108" w:type="dxa"/>
            </w:tcMar>
            <w:vAlign w:val="center"/>
          </w:tcPr>
          <w:p>
            <w:pPr>
              <w:spacing w:after="0" w:line="240" w:lineRule="auto"/>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40</w:t>
            </w:r>
            <w:r>
              <w:rPr>
                <w:rFonts w:hint="eastAsia" w:ascii="宋体" w:hAnsi="宋体" w:eastAsia="宋体" w:cs="宋体"/>
                <w:sz w:val="21"/>
                <w:szCs w:val="21"/>
              </w:rPr>
              <w:t>分</w:t>
            </w:r>
          </w:p>
        </w:tc>
        <w:tc>
          <w:tcPr>
            <w:tcW w:w="5829" w:type="dxa"/>
            <w:tcMar>
              <w:top w:w="0" w:type="dxa"/>
              <w:left w:w="108" w:type="dxa"/>
              <w:bottom w:w="0" w:type="dxa"/>
              <w:right w:w="108" w:type="dxa"/>
            </w:tcMar>
            <w:vAlign w:val="center"/>
          </w:tcPr>
          <w:p>
            <w:pPr>
              <w:spacing w:after="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提供2020年1月至今类似</w:t>
            </w:r>
            <w:r>
              <w:rPr>
                <w:rFonts w:hint="eastAsia" w:ascii="宋体" w:hAnsi="宋体" w:eastAsia="宋体" w:cs="宋体"/>
                <w:sz w:val="21"/>
                <w:szCs w:val="21"/>
                <w:lang w:val="en-US" w:eastAsia="zh-CN"/>
              </w:rPr>
              <w:t>产品</w:t>
            </w:r>
            <w:r>
              <w:rPr>
                <w:rFonts w:hint="eastAsia" w:ascii="宋体" w:hAnsi="宋体" w:eastAsia="宋体" w:cs="宋体"/>
                <w:sz w:val="21"/>
                <w:szCs w:val="21"/>
                <w:lang w:eastAsia="zh-CN"/>
              </w:rPr>
              <w:t>销售合同文件，</w:t>
            </w:r>
            <w:r>
              <w:rPr>
                <w:rFonts w:hint="eastAsia" w:ascii="宋体" w:hAnsi="宋体" w:eastAsia="宋体" w:cs="宋体"/>
                <w:sz w:val="21"/>
                <w:szCs w:val="21"/>
                <w:lang w:val="en-US" w:eastAsia="zh-CN"/>
              </w:rPr>
              <w:t>提供</w:t>
            </w:r>
            <w:r>
              <w:rPr>
                <w:rFonts w:hint="eastAsia" w:ascii="宋体" w:hAnsi="宋体" w:eastAsia="宋体" w:cs="宋体"/>
                <w:sz w:val="21"/>
                <w:szCs w:val="21"/>
                <w:highlight w:val="none"/>
                <w:lang w:val="en-US" w:eastAsia="zh-CN"/>
              </w:rPr>
              <w:t>一份得8</w:t>
            </w:r>
            <w:r>
              <w:rPr>
                <w:rFonts w:hint="eastAsia" w:ascii="宋体" w:hAnsi="宋体" w:eastAsia="宋体" w:cs="宋体"/>
                <w:sz w:val="21"/>
                <w:szCs w:val="21"/>
                <w:highlight w:val="none"/>
                <w:lang w:eastAsia="zh-CN"/>
              </w:rPr>
              <w:t>分，</w:t>
            </w:r>
            <w:r>
              <w:rPr>
                <w:rFonts w:hint="eastAsia" w:ascii="宋体" w:hAnsi="宋体" w:eastAsia="宋体" w:cs="宋体"/>
                <w:sz w:val="21"/>
                <w:szCs w:val="21"/>
                <w:highlight w:val="none"/>
                <w:lang w:val="en-US" w:eastAsia="zh-CN"/>
              </w:rPr>
              <w:t>最多得40分</w:t>
            </w:r>
            <w:r>
              <w:rPr>
                <w:rFonts w:hint="eastAsia" w:ascii="宋体" w:hAnsi="宋体" w:eastAsia="宋体" w:cs="宋体"/>
                <w:sz w:val="21"/>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134" w:hRule="atLeast"/>
          <w:jc w:val="center"/>
        </w:trPr>
        <w:tc>
          <w:tcPr>
            <w:tcW w:w="954" w:type="dxa"/>
            <w:vMerge w:val="continue"/>
            <w:vAlign w:val="center"/>
          </w:tcPr>
          <w:p>
            <w:pPr>
              <w:spacing w:after="0" w:line="240" w:lineRule="auto"/>
              <w:rPr>
                <w:rFonts w:hint="eastAsia" w:ascii="宋体" w:hAnsi="宋体" w:eastAsia="宋体" w:cs="宋体"/>
                <w:sz w:val="21"/>
                <w:szCs w:val="21"/>
                <w:lang w:eastAsia="zh-CN"/>
              </w:rPr>
            </w:pPr>
          </w:p>
        </w:tc>
        <w:tc>
          <w:tcPr>
            <w:tcW w:w="719" w:type="dxa"/>
            <w:vMerge w:val="continue"/>
            <w:vAlign w:val="center"/>
          </w:tcPr>
          <w:p>
            <w:pPr>
              <w:spacing w:after="0" w:line="240" w:lineRule="auto"/>
              <w:rPr>
                <w:rFonts w:hint="eastAsia" w:ascii="宋体" w:hAnsi="宋体" w:eastAsia="宋体" w:cs="宋体"/>
                <w:sz w:val="21"/>
                <w:szCs w:val="21"/>
                <w:lang w:eastAsia="zh-CN"/>
              </w:rPr>
            </w:pPr>
          </w:p>
        </w:tc>
        <w:tc>
          <w:tcPr>
            <w:tcW w:w="1087" w:type="dxa"/>
            <w:tcMar>
              <w:top w:w="0" w:type="dxa"/>
              <w:left w:w="108" w:type="dxa"/>
              <w:bottom w:w="0" w:type="dxa"/>
              <w:right w:w="108" w:type="dxa"/>
            </w:tcMar>
            <w:vAlign w:val="center"/>
          </w:tcPr>
          <w:p>
            <w:pPr>
              <w:spacing w:after="0" w:line="240" w:lineRule="auto"/>
              <w:jc w:val="center"/>
              <w:rPr>
                <w:rFonts w:hint="eastAsia" w:ascii="宋体" w:hAnsi="宋体" w:eastAsia="宋体" w:cs="宋体"/>
                <w:sz w:val="21"/>
                <w:szCs w:val="21"/>
                <w:lang w:val="en-US" w:eastAsia="zh-CN" w:bidi="ar-SA"/>
              </w:rPr>
            </w:pPr>
            <w:r>
              <w:rPr>
                <w:rFonts w:hint="eastAsia" w:ascii="宋体" w:hAnsi="宋体" w:eastAsia="宋体" w:cs="宋体"/>
                <w:sz w:val="21"/>
                <w:szCs w:val="21"/>
              </w:rPr>
              <w:t>质量保证和售后服务</w:t>
            </w:r>
          </w:p>
        </w:tc>
        <w:tc>
          <w:tcPr>
            <w:tcW w:w="1150" w:type="dxa"/>
            <w:tcMar>
              <w:top w:w="0" w:type="dxa"/>
              <w:left w:w="108" w:type="dxa"/>
              <w:bottom w:w="0" w:type="dxa"/>
              <w:right w:w="108" w:type="dxa"/>
            </w:tcMar>
            <w:vAlign w:val="center"/>
          </w:tcPr>
          <w:p>
            <w:pPr>
              <w:spacing w:after="0" w:line="240" w:lineRule="auto"/>
              <w:jc w:val="center"/>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0</w:t>
            </w:r>
            <w:r>
              <w:rPr>
                <w:rFonts w:hint="eastAsia" w:ascii="宋体" w:hAnsi="宋体" w:eastAsia="宋体" w:cs="宋体"/>
                <w:sz w:val="21"/>
                <w:szCs w:val="21"/>
              </w:rPr>
              <w:t>分</w:t>
            </w:r>
          </w:p>
        </w:tc>
        <w:tc>
          <w:tcPr>
            <w:tcW w:w="5829" w:type="dxa"/>
            <w:tcMar>
              <w:top w:w="0" w:type="dxa"/>
              <w:left w:w="108" w:type="dxa"/>
              <w:bottom w:w="0" w:type="dxa"/>
              <w:right w:w="108" w:type="dxa"/>
            </w:tcMar>
            <w:vAlign w:val="center"/>
          </w:tcPr>
          <w:p>
            <w:pPr>
              <w:spacing w:after="0" w:line="240" w:lineRule="auto"/>
              <w:rPr>
                <w:rFonts w:hint="eastAsia" w:ascii="宋体" w:hAnsi="宋体" w:eastAsia="宋体" w:cs="宋体"/>
                <w:sz w:val="21"/>
                <w:szCs w:val="21"/>
                <w:lang w:val="en-US" w:eastAsia="zh-CN" w:bidi="ar-SA"/>
              </w:rPr>
            </w:pPr>
            <w:r>
              <w:rPr>
                <w:rFonts w:hint="eastAsia" w:ascii="宋体" w:hAnsi="宋体" w:eastAsia="宋体" w:cs="宋体"/>
                <w:sz w:val="21"/>
                <w:szCs w:val="21"/>
                <w:lang w:eastAsia="zh-CN"/>
              </w:rPr>
              <w:t>对各投标人的质量保证范围、质保期限、售后服务等内容进行横向比较，按差别赋分（0-</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0分）。</w:t>
            </w:r>
          </w:p>
        </w:tc>
      </w:tr>
    </w:tbl>
    <w:p>
      <w:pPr>
        <w:spacing w:after="0"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十一</w:t>
      </w:r>
      <w:r>
        <w:rPr>
          <w:rFonts w:hint="eastAsia" w:ascii="宋体" w:hAnsi="宋体" w:eastAsia="宋体" w:cs="宋体"/>
          <w:b/>
          <w:bCs/>
          <w:sz w:val="24"/>
          <w:szCs w:val="24"/>
          <w:lang w:eastAsia="zh-CN"/>
        </w:rPr>
        <w:t>、确定单位程序</w:t>
      </w:r>
    </w:p>
    <w:p>
      <w:p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依据各单位提交的报价文件，由谈判小组依次与递交合格报价单的单位进行谈判，谈判后各单位根据实际情况进行第二次报价。谈判小组依据第二次报价，综合各单位对于本项目的述标情况综合评判，确定本项目设备供应单位。</w:t>
      </w:r>
    </w:p>
    <w:p>
      <w:pPr>
        <w:spacing w:after="0" w:line="360" w:lineRule="auto"/>
        <w:ind w:firstLine="3600" w:firstLineChars="150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陕西燃气集团工程有限公司</w:t>
      </w:r>
    </w:p>
    <w:p>
      <w:pPr>
        <w:spacing w:after="0" w:line="360" w:lineRule="auto"/>
        <w:ind w:firstLine="480" w:firstLineChars="200"/>
        <w:rPr>
          <w:rFonts w:ascii="宋体" w:hAnsi="宋体" w:eastAsia="宋体" w:cs="宋体"/>
          <w:b/>
          <w:bCs/>
          <w:sz w:val="32"/>
          <w:szCs w:val="32"/>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highlight w:val="none"/>
          <w:lang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 xml:space="preserve">   </w:t>
      </w:r>
      <w:r>
        <w:rPr>
          <w:rFonts w:hint="eastAsia" w:ascii="宋体" w:hAnsi="宋体" w:eastAsia="宋体" w:cs="宋体"/>
          <w:sz w:val="24"/>
          <w:szCs w:val="24"/>
          <w:highlight w:val="none"/>
          <w:lang w:val="en-US" w:eastAsia="zh-CN"/>
        </w:rPr>
        <w:t>2023</w:t>
      </w:r>
      <w:r>
        <w:rPr>
          <w:rFonts w:hint="eastAsia" w:ascii="宋体" w:hAnsi="宋体" w:eastAsia="宋体" w:cs="宋体"/>
          <w:sz w:val="24"/>
          <w:szCs w:val="24"/>
          <w:highlight w:val="none"/>
          <w:lang w:eastAsia="zh-CN"/>
        </w:rPr>
        <w:t>年</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lang w:eastAsia="zh-CN"/>
        </w:rPr>
        <w:t>月</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lang w:eastAsia="zh-CN"/>
        </w:rPr>
        <w:t>日</w:t>
      </w:r>
      <w:r>
        <w:rPr>
          <w:rFonts w:hint="eastAsia" w:ascii="宋体" w:hAnsi="宋体" w:eastAsia="宋体" w:cs="宋体"/>
          <w:b/>
          <w:bCs/>
          <w:sz w:val="24"/>
          <w:szCs w:val="24"/>
          <w:lang w:eastAsia="zh-CN"/>
        </w:rPr>
        <w:t xml:space="preserve"> </w:t>
      </w:r>
      <w:r>
        <w:rPr>
          <w:rFonts w:hint="eastAsia" w:ascii="仿宋" w:hAnsi="仿宋" w:eastAsia="仿宋" w:cs="仿宋"/>
          <w:b/>
          <w:bCs/>
          <w:sz w:val="32"/>
          <w:szCs w:val="32"/>
          <w:lang w:eastAsia="zh-CN"/>
        </w:rPr>
        <w:t xml:space="preserve">           </w:t>
      </w:r>
      <w:r>
        <w:rPr>
          <w:rFonts w:hint="eastAsia" w:ascii="宋体" w:hAnsi="宋体" w:eastAsia="宋体" w:cs="宋体"/>
          <w:b/>
          <w:bCs/>
          <w:sz w:val="32"/>
          <w:szCs w:val="32"/>
          <w:lang w:eastAsia="zh-CN"/>
        </w:rPr>
        <w:t xml:space="preserve"> </w:t>
      </w:r>
    </w:p>
    <w:p>
      <w:pPr>
        <w:rPr>
          <w:rFonts w:hint="eastAsia" w:ascii="宋体" w:hAnsi="宋体" w:cs="宋体"/>
          <w:b/>
          <w:bCs/>
          <w:sz w:val="36"/>
          <w:szCs w:val="36"/>
          <w:highlight w:val="none"/>
          <w:lang w:val="en-US" w:eastAsia="zh-CN"/>
        </w:rPr>
      </w:pPr>
      <w:r>
        <w:rPr>
          <w:rFonts w:hint="eastAsia" w:ascii="宋体" w:hAnsi="宋体" w:cs="宋体"/>
          <w:b/>
          <w:bCs/>
          <w:sz w:val="36"/>
          <w:szCs w:val="36"/>
          <w:highlight w:val="none"/>
          <w:lang w:val="en-US" w:eastAsia="zh-CN"/>
        </w:rPr>
        <w:br w:type="page"/>
      </w:r>
    </w:p>
    <w:p>
      <w:pPr>
        <w:jc w:val="right"/>
        <w:rPr>
          <w:rFonts w:hint="eastAsia" w:ascii="宋体" w:hAnsi="宋体" w:eastAsia="宋体" w:cs="宋体"/>
          <w:b/>
          <w:sz w:val="32"/>
          <w:szCs w:val="32"/>
          <w:highlight w:val="none"/>
        </w:rPr>
      </w:pPr>
      <w:r>
        <w:rPr>
          <w:rFonts w:hint="eastAsia" w:ascii="宋体" w:hAnsi="宋体" w:eastAsia="宋体" w:cs="宋体"/>
          <w:b/>
          <w:sz w:val="32"/>
          <w:szCs w:val="32"/>
          <w:highlight w:val="none"/>
        </w:rPr>
        <w:t>（正本/副本）</w:t>
      </w:r>
    </w:p>
    <w:p>
      <w:pPr>
        <w:jc w:val="right"/>
        <w:rPr>
          <w:rFonts w:hint="eastAsia" w:ascii="宋体" w:hAnsi="宋体" w:eastAsia="宋体" w:cs="宋体"/>
          <w:b/>
          <w:sz w:val="32"/>
          <w:szCs w:val="32"/>
          <w:highlight w:val="none"/>
        </w:rPr>
      </w:pPr>
    </w:p>
    <w:p>
      <w:pPr>
        <w:jc w:val="center"/>
        <w:rPr>
          <w:rFonts w:hint="eastAsia" w:ascii="宋体" w:hAnsi="宋体" w:eastAsia="宋体" w:cs="宋体"/>
          <w:b/>
          <w:sz w:val="44"/>
          <w:szCs w:val="44"/>
          <w:highlight w:val="none"/>
        </w:rPr>
      </w:pPr>
    </w:p>
    <w:p>
      <w:pPr>
        <w:jc w:val="center"/>
        <w:rPr>
          <w:rFonts w:hint="eastAsia" w:ascii="宋体" w:hAnsi="宋体" w:eastAsia="宋体" w:cs="宋体"/>
          <w:b/>
          <w:bCs/>
          <w:kern w:val="0"/>
          <w:sz w:val="52"/>
          <w:szCs w:val="52"/>
          <w:highlight w:val="none"/>
        </w:rPr>
      </w:pPr>
      <w:r>
        <w:rPr>
          <w:rFonts w:hint="eastAsia" w:ascii="宋体" w:hAnsi="宋体" w:cs="宋体"/>
          <w:b/>
          <w:bCs/>
          <w:kern w:val="0"/>
          <w:sz w:val="52"/>
          <w:szCs w:val="52"/>
          <w:highlight w:val="none"/>
          <w:lang w:eastAsia="zh-CN"/>
        </w:rPr>
        <w:t>陕西燃气</w:t>
      </w:r>
      <w:r>
        <w:rPr>
          <w:rFonts w:hint="eastAsia" w:ascii="宋体" w:hAnsi="宋体" w:eastAsia="宋体" w:cs="宋体"/>
          <w:b/>
          <w:bCs/>
          <w:kern w:val="0"/>
          <w:sz w:val="52"/>
          <w:szCs w:val="52"/>
          <w:highlight w:val="none"/>
        </w:rPr>
        <w:t>集团工程有限公司</w:t>
      </w:r>
    </w:p>
    <w:p>
      <w:pPr>
        <w:jc w:val="center"/>
        <w:rPr>
          <w:rFonts w:hint="eastAsia" w:ascii="宋体" w:hAnsi="宋体" w:eastAsia="宋体" w:cs="宋体"/>
          <w:b/>
          <w:bCs/>
          <w:kern w:val="0"/>
          <w:sz w:val="52"/>
          <w:szCs w:val="52"/>
          <w:highlight w:val="none"/>
          <w:lang w:val="en-US" w:eastAsia="zh-CN"/>
        </w:rPr>
      </w:pPr>
      <w:r>
        <w:rPr>
          <w:rFonts w:hint="eastAsia" w:ascii="宋体" w:hAnsi="宋体" w:eastAsia="宋体" w:cs="宋体"/>
          <w:b/>
          <w:bCs/>
          <w:kern w:val="0"/>
          <w:sz w:val="52"/>
          <w:szCs w:val="52"/>
          <w:highlight w:val="none"/>
          <w:lang w:val="en-US" w:eastAsia="zh-CN"/>
        </w:rPr>
        <w:t>咸阳市热力公司利用热电联</w:t>
      </w:r>
    </w:p>
    <w:p>
      <w:pPr>
        <w:jc w:val="center"/>
        <w:rPr>
          <w:rFonts w:hint="eastAsia" w:ascii="宋体" w:hAnsi="宋体" w:eastAsia="宋体" w:cs="宋体"/>
          <w:b/>
          <w:bCs/>
          <w:kern w:val="0"/>
          <w:sz w:val="52"/>
          <w:szCs w:val="52"/>
          <w:highlight w:val="none"/>
          <w:lang w:val="en-US" w:eastAsia="zh-CN"/>
        </w:rPr>
      </w:pPr>
      <w:r>
        <w:rPr>
          <w:rFonts w:hint="eastAsia" w:ascii="宋体" w:hAnsi="宋体" w:eastAsia="宋体" w:cs="宋体"/>
          <w:b/>
          <w:bCs/>
          <w:kern w:val="0"/>
          <w:sz w:val="52"/>
          <w:szCs w:val="52"/>
          <w:highlight w:val="none"/>
          <w:lang w:val="en-US" w:eastAsia="zh-CN"/>
        </w:rPr>
        <w:t>产热网新建及改建项目二期工程</w:t>
      </w:r>
    </w:p>
    <w:p>
      <w:pPr>
        <w:jc w:val="center"/>
        <w:rPr>
          <w:rFonts w:hint="eastAsia" w:ascii="宋体" w:hAnsi="宋体" w:eastAsia="宋体" w:cs="宋体"/>
          <w:b/>
          <w:bCs/>
          <w:kern w:val="0"/>
          <w:sz w:val="52"/>
          <w:szCs w:val="52"/>
          <w:highlight w:val="none"/>
          <w:lang w:val="en-US" w:eastAsia="zh-CN"/>
        </w:rPr>
      </w:pPr>
      <w:r>
        <w:rPr>
          <w:rFonts w:hint="eastAsia" w:ascii="宋体" w:hAnsi="宋体" w:cs="宋体"/>
          <w:b/>
          <w:bCs/>
          <w:kern w:val="0"/>
          <w:sz w:val="52"/>
          <w:szCs w:val="52"/>
          <w:highlight w:val="none"/>
          <w:lang w:val="en-US" w:eastAsia="zh-CN"/>
        </w:rPr>
        <w:t>补偿器</w:t>
      </w:r>
      <w:r>
        <w:rPr>
          <w:rFonts w:hint="eastAsia" w:ascii="宋体" w:hAnsi="宋体" w:eastAsia="宋体" w:cs="宋体"/>
          <w:b/>
          <w:bCs/>
          <w:kern w:val="0"/>
          <w:sz w:val="52"/>
          <w:szCs w:val="52"/>
          <w:highlight w:val="none"/>
          <w:lang w:val="en-US" w:eastAsia="zh-CN"/>
        </w:rPr>
        <w:t>采购</w:t>
      </w:r>
    </w:p>
    <w:p>
      <w:pPr>
        <w:rPr>
          <w:rFonts w:hint="eastAsia" w:ascii="宋体" w:hAnsi="宋体" w:eastAsia="宋体" w:cs="宋体"/>
          <w:b/>
          <w:sz w:val="36"/>
          <w:szCs w:val="36"/>
          <w:highlight w:val="none"/>
        </w:rPr>
      </w:pPr>
      <w:r>
        <w:rPr>
          <w:rFonts w:hint="eastAsia" w:ascii="宋体" w:hAnsi="宋体" w:eastAsia="宋体" w:cs="宋体"/>
          <w:b/>
          <w:sz w:val="36"/>
          <w:szCs w:val="36"/>
          <w:highlight w:val="none"/>
        </w:rPr>
        <w:t xml:space="preserve">               </w:t>
      </w:r>
    </w:p>
    <w:p>
      <w:pPr>
        <w:keepNext w:val="0"/>
        <w:keepLines w:val="0"/>
        <w:pageBreakBefore w:val="0"/>
        <w:wordWrap/>
        <w:bidi w:val="0"/>
        <w:spacing w:line="240" w:lineRule="auto"/>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lang w:eastAsia="zh-CN"/>
        </w:rPr>
        <w:t>谈判响应</w:t>
      </w:r>
      <w:r>
        <w:rPr>
          <w:rFonts w:hint="eastAsia" w:ascii="宋体" w:hAnsi="宋体" w:eastAsia="宋体" w:cs="宋体"/>
          <w:b/>
          <w:bCs/>
          <w:color w:val="auto"/>
          <w:sz w:val="52"/>
          <w:szCs w:val="52"/>
          <w:highlight w:val="none"/>
        </w:rPr>
        <w:t>文件</w:t>
      </w:r>
    </w:p>
    <w:p>
      <w:pPr>
        <w:rPr>
          <w:rFonts w:hint="eastAsia"/>
        </w:rPr>
      </w:pPr>
    </w:p>
    <w:p>
      <w:pPr>
        <w:pStyle w:val="10"/>
        <w:rPr>
          <w:rFonts w:hint="eastAsia"/>
        </w:rPr>
      </w:pPr>
    </w:p>
    <w:p>
      <w:pPr>
        <w:rPr>
          <w:rFonts w:hint="eastAsia"/>
        </w:rPr>
      </w:pPr>
    </w:p>
    <w:p>
      <w:pPr>
        <w:pStyle w:val="10"/>
        <w:rPr>
          <w:rFonts w:hint="eastAsia"/>
        </w:rPr>
      </w:pPr>
    </w:p>
    <w:p>
      <w:pPr>
        <w:rPr>
          <w:rFonts w:hint="eastAsia"/>
        </w:rPr>
      </w:pPr>
    </w:p>
    <w:p>
      <w:pPr>
        <w:pStyle w:val="10"/>
        <w:rPr>
          <w:rFonts w:hint="eastAsia"/>
        </w:rPr>
      </w:pPr>
    </w:p>
    <w:p>
      <w:pPr>
        <w:rPr>
          <w:rFonts w:hint="eastAsia"/>
        </w:rPr>
      </w:pPr>
    </w:p>
    <w:p>
      <w:pPr>
        <w:jc w:val="center"/>
        <w:rPr>
          <w:rFonts w:hint="eastAsia" w:ascii="宋体" w:hAnsi="宋体" w:eastAsia="宋体" w:cs="宋体"/>
          <w:b/>
          <w:sz w:val="36"/>
          <w:szCs w:val="36"/>
          <w:highlight w:val="none"/>
        </w:rPr>
      </w:pPr>
    </w:p>
    <w:p>
      <w:pPr>
        <w:rPr>
          <w:rFonts w:hint="eastAsia" w:ascii="宋体" w:hAnsi="宋体" w:eastAsia="宋体" w:cs="宋体"/>
          <w:b/>
          <w:sz w:val="36"/>
          <w:szCs w:val="36"/>
          <w:highlight w:val="none"/>
        </w:rPr>
      </w:pPr>
    </w:p>
    <w:p>
      <w:pPr>
        <w:keepNext w:val="0"/>
        <w:keepLines w:val="0"/>
        <w:pageBreakBefore w:val="0"/>
        <w:tabs>
          <w:tab w:val="center" w:pos="5346"/>
        </w:tabs>
        <w:wordWrap/>
        <w:bidi w:val="0"/>
        <w:spacing w:after="0" w:line="240" w:lineRule="auto"/>
        <w:jc w:val="both"/>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eastAsia="zh-CN"/>
        </w:rPr>
        <w:t>洽谈单位名称（公章）：</w:t>
      </w:r>
      <w:r>
        <w:rPr>
          <w:rFonts w:hint="eastAsia" w:ascii="宋体" w:hAnsi="宋体" w:eastAsia="宋体" w:cs="宋体"/>
          <w:b/>
          <w:bCs/>
          <w:sz w:val="36"/>
          <w:szCs w:val="36"/>
          <w:u w:val="single"/>
          <w:lang w:val="en-US" w:eastAsia="zh-CN"/>
        </w:rPr>
        <w:t xml:space="preserve">                           </w:t>
      </w:r>
    </w:p>
    <w:p>
      <w:pPr>
        <w:keepNext w:val="0"/>
        <w:keepLines w:val="0"/>
        <w:pageBreakBefore w:val="0"/>
        <w:tabs>
          <w:tab w:val="center" w:pos="5346"/>
        </w:tabs>
        <w:wordWrap/>
        <w:bidi w:val="0"/>
        <w:spacing w:after="0" w:line="240" w:lineRule="auto"/>
        <w:jc w:val="both"/>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法定代表人（或委托代理人）签字或盖章：</w:t>
      </w:r>
      <w:r>
        <w:rPr>
          <w:rFonts w:hint="eastAsia" w:ascii="宋体" w:hAnsi="宋体" w:eastAsia="宋体" w:cs="宋体"/>
          <w:b/>
          <w:bCs/>
          <w:sz w:val="36"/>
          <w:szCs w:val="36"/>
          <w:u w:val="single"/>
          <w:lang w:val="en-US" w:eastAsia="zh-CN"/>
        </w:rPr>
        <w:t xml:space="preserve">                 </w:t>
      </w:r>
    </w:p>
    <w:p>
      <w:pPr>
        <w:tabs>
          <w:tab w:val="center" w:pos="5346"/>
        </w:tabs>
        <w:spacing w:line="480" w:lineRule="auto"/>
        <w:jc w:val="center"/>
        <w:rPr>
          <w:rFonts w:ascii="宋体" w:hAnsi="宋体" w:eastAsia="宋体" w:cs="宋体"/>
          <w:b/>
          <w:sz w:val="44"/>
          <w:lang w:eastAsia="zh-CN"/>
        </w:rPr>
      </w:pPr>
      <w:r>
        <w:rPr>
          <w:rFonts w:hint="eastAsia" w:ascii="宋体" w:hAnsi="宋体" w:eastAsia="宋体" w:cs="宋体"/>
          <w:b/>
          <w:bCs/>
          <w:color w:val="auto"/>
          <w:sz w:val="36"/>
          <w:szCs w:val="36"/>
          <w:highlight w:val="none"/>
        </w:rPr>
        <w:t>二〇</w:t>
      </w:r>
      <w:r>
        <w:rPr>
          <w:rFonts w:hint="eastAsia" w:ascii="宋体" w:hAnsi="宋体" w:eastAsia="宋体" w:cs="宋体"/>
          <w:b/>
          <w:bCs/>
          <w:color w:val="auto"/>
          <w:sz w:val="36"/>
          <w:szCs w:val="36"/>
          <w:highlight w:val="none"/>
          <w:lang w:eastAsia="zh-CN"/>
        </w:rPr>
        <w:t>二</w:t>
      </w:r>
      <w:r>
        <w:rPr>
          <w:rFonts w:hint="eastAsia" w:ascii="宋体" w:hAnsi="宋体" w:eastAsia="宋体" w:cs="宋体"/>
          <w:b/>
          <w:bCs/>
          <w:color w:val="auto"/>
          <w:sz w:val="36"/>
          <w:szCs w:val="36"/>
          <w:highlight w:val="none"/>
          <w:lang w:val="en-US" w:eastAsia="zh-CN"/>
        </w:rPr>
        <w:t>三</w:t>
      </w:r>
      <w:r>
        <w:rPr>
          <w:rFonts w:hint="eastAsia" w:ascii="宋体" w:hAnsi="宋体" w:eastAsia="宋体" w:cs="宋体"/>
          <w:b/>
          <w:bCs/>
          <w:color w:val="auto"/>
          <w:sz w:val="36"/>
          <w:szCs w:val="36"/>
          <w:highlight w:val="none"/>
        </w:rPr>
        <w:t>年</w:t>
      </w:r>
      <w:r>
        <w:rPr>
          <w:rFonts w:hint="eastAsia" w:ascii="宋体" w:hAnsi="宋体" w:cs="宋体"/>
          <w:b/>
          <w:bCs/>
          <w:color w:val="auto"/>
          <w:sz w:val="36"/>
          <w:szCs w:val="36"/>
          <w:highlight w:val="none"/>
          <w:lang w:val="en-US" w:eastAsia="zh-CN"/>
        </w:rPr>
        <w:t>九</w:t>
      </w:r>
      <w:r>
        <w:rPr>
          <w:rFonts w:hint="eastAsia" w:ascii="宋体" w:hAnsi="宋体" w:eastAsia="宋体" w:cs="宋体"/>
          <w:b/>
          <w:bCs/>
          <w:color w:val="auto"/>
          <w:sz w:val="36"/>
          <w:szCs w:val="36"/>
          <w:highlight w:val="none"/>
        </w:rPr>
        <w:t>月</w:t>
      </w:r>
      <w:r>
        <w:rPr>
          <w:rFonts w:hint="eastAsia" w:ascii="宋体" w:hAnsi="宋体" w:eastAsia="宋体" w:cs="宋体"/>
          <w:b/>
          <w:sz w:val="36"/>
          <w:szCs w:val="36"/>
          <w:highlight w:val="none"/>
        </w:rPr>
        <w:br w:type="page"/>
      </w:r>
      <w:bookmarkStart w:id="1" w:name="_Toc344572156"/>
      <w:r>
        <w:rPr>
          <w:rFonts w:hint="eastAsia" w:ascii="宋体" w:hAnsi="宋体" w:eastAsia="宋体" w:cs="宋体"/>
          <w:b/>
          <w:sz w:val="44"/>
          <w:lang w:eastAsia="zh-CN"/>
        </w:rPr>
        <w:t>目  录</w:t>
      </w:r>
    </w:p>
    <w:bookmarkEnd w:id="1"/>
    <w:p>
      <w:pPr>
        <w:keepNext w:val="0"/>
        <w:keepLines w:val="0"/>
        <w:pageBreakBefore w:val="0"/>
        <w:widowControl/>
        <w:numPr>
          <w:ilvl w:val="0"/>
          <w:numId w:val="3"/>
        </w:numPr>
        <w:kinsoku/>
        <w:wordWrap/>
        <w:overflowPunct/>
        <w:topLinePunct w:val="0"/>
        <w:autoSpaceDE/>
        <w:autoSpaceDN/>
        <w:bidi w:val="0"/>
        <w:spacing w:line="560" w:lineRule="exact"/>
        <w:ind w:firstLine="576" w:firstLineChars="200"/>
        <w:textAlignment w:val="auto"/>
        <w:rPr>
          <w:rFonts w:hint="eastAsia" w:ascii="宋体" w:hAnsi="宋体" w:eastAsia="宋体" w:cs="宋体"/>
          <w:b w:val="0"/>
          <w:bCs w:val="0"/>
          <w:spacing w:val="4"/>
          <w:sz w:val="28"/>
          <w:szCs w:val="28"/>
          <w:lang w:eastAsia="zh-CN"/>
        </w:rPr>
      </w:pPr>
      <w:r>
        <w:rPr>
          <w:rFonts w:hint="eastAsia" w:ascii="宋体" w:hAnsi="宋体" w:eastAsia="宋体" w:cs="宋体"/>
          <w:b w:val="0"/>
          <w:bCs w:val="0"/>
          <w:spacing w:val="4"/>
          <w:sz w:val="28"/>
          <w:szCs w:val="28"/>
          <w:lang w:eastAsia="zh-CN"/>
        </w:rPr>
        <w:t>报价表</w:t>
      </w:r>
    </w:p>
    <w:p>
      <w:pPr>
        <w:keepNext w:val="0"/>
        <w:keepLines w:val="0"/>
        <w:pageBreakBefore w:val="0"/>
        <w:widowControl/>
        <w:numPr>
          <w:ilvl w:val="0"/>
          <w:numId w:val="3"/>
        </w:numPr>
        <w:kinsoku/>
        <w:wordWrap/>
        <w:overflowPunct/>
        <w:topLinePunct w:val="0"/>
        <w:autoSpaceDE/>
        <w:autoSpaceDN/>
        <w:bidi w:val="0"/>
        <w:spacing w:line="560" w:lineRule="exact"/>
        <w:ind w:firstLine="576" w:firstLineChars="200"/>
        <w:textAlignment w:val="auto"/>
        <w:rPr>
          <w:rFonts w:hint="eastAsia" w:ascii="宋体" w:hAnsi="宋体" w:eastAsia="宋体" w:cs="宋体"/>
          <w:b w:val="0"/>
          <w:bCs w:val="0"/>
          <w:spacing w:val="4"/>
          <w:sz w:val="28"/>
          <w:szCs w:val="28"/>
          <w:lang w:eastAsia="zh-CN"/>
        </w:rPr>
      </w:pPr>
      <w:r>
        <w:rPr>
          <w:rFonts w:hint="eastAsia" w:ascii="宋体" w:hAnsi="宋体" w:eastAsia="宋体" w:cs="宋体"/>
          <w:b w:val="0"/>
          <w:bCs w:val="0"/>
          <w:spacing w:val="4"/>
          <w:sz w:val="28"/>
          <w:szCs w:val="28"/>
          <w:lang w:val="en-US" w:eastAsia="zh-CN"/>
        </w:rPr>
        <w:t>商务、技术偏离表</w:t>
      </w:r>
    </w:p>
    <w:p>
      <w:pPr>
        <w:keepNext w:val="0"/>
        <w:keepLines w:val="0"/>
        <w:pageBreakBefore w:val="0"/>
        <w:widowControl/>
        <w:numPr>
          <w:ilvl w:val="0"/>
          <w:numId w:val="3"/>
        </w:numPr>
        <w:kinsoku/>
        <w:wordWrap/>
        <w:overflowPunct/>
        <w:topLinePunct w:val="0"/>
        <w:autoSpaceDE/>
        <w:autoSpaceDN/>
        <w:bidi w:val="0"/>
        <w:spacing w:line="560" w:lineRule="exact"/>
        <w:ind w:firstLine="576" w:firstLineChars="200"/>
        <w:textAlignment w:val="auto"/>
        <w:rPr>
          <w:rFonts w:hint="eastAsia" w:ascii="宋体" w:hAnsi="宋体" w:eastAsia="宋体" w:cs="宋体"/>
          <w:b w:val="0"/>
          <w:bCs w:val="0"/>
          <w:spacing w:val="4"/>
          <w:sz w:val="28"/>
          <w:szCs w:val="28"/>
          <w:lang w:eastAsia="zh-CN"/>
        </w:rPr>
      </w:pPr>
      <w:r>
        <w:rPr>
          <w:rFonts w:hint="eastAsia" w:ascii="宋体" w:hAnsi="宋体" w:eastAsia="宋体" w:cs="宋体"/>
          <w:b w:val="0"/>
          <w:bCs w:val="0"/>
          <w:spacing w:val="4"/>
          <w:sz w:val="28"/>
          <w:szCs w:val="28"/>
          <w:lang w:eastAsia="zh-CN"/>
        </w:rPr>
        <w:t>法人代表授权委托书</w:t>
      </w:r>
    </w:p>
    <w:p>
      <w:pPr>
        <w:keepNext w:val="0"/>
        <w:keepLines w:val="0"/>
        <w:pageBreakBefore w:val="0"/>
        <w:widowControl/>
        <w:numPr>
          <w:ilvl w:val="0"/>
          <w:numId w:val="3"/>
        </w:numPr>
        <w:kinsoku/>
        <w:wordWrap/>
        <w:overflowPunct/>
        <w:topLinePunct w:val="0"/>
        <w:autoSpaceDE/>
        <w:autoSpaceDN/>
        <w:bidi w:val="0"/>
        <w:spacing w:line="560" w:lineRule="exact"/>
        <w:ind w:firstLine="576" w:firstLineChars="200"/>
        <w:textAlignment w:val="auto"/>
        <w:rPr>
          <w:rFonts w:hint="eastAsia" w:ascii="宋体" w:hAnsi="宋体" w:eastAsia="宋体" w:cs="宋体"/>
          <w:b w:val="0"/>
          <w:bCs w:val="0"/>
          <w:spacing w:val="4"/>
          <w:sz w:val="28"/>
          <w:szCs w:val="28"/>
          <w:lang w:eastAsia="zh-CN"/>
        </w:rPr>
      </w:pPr>
      <w:r>
        <w:rPr>
          <w:rFonts w:hint="eastAsia" w:ascii="宋体" w:hAnsi="宋体" w:eastAsia="宋体" w:cs="宋体"/>
          <w:b w:val="0"/>
          <w:bCs w:val="0"/>
          <w:spacing w:val="4"/>
          <w:sz w:val="28"/>
          <w:szCs w:val="28"/>
          <w:lang w:eastAsia="zh-CN"/>
        </w:rPr>
        <w:t>营业执照、开户许可证</w:t>
      </w:r>
    </w:p>
    <w:p>
      <w:pPr>
        <w:keepNext w:val="0"/>
        <w:keepLines w:val="0"/>
        <w:pageBreakBefore w:val="0"/>
        <w:widowControl/>
        <w:numPr>
          <w:ilvl w:val="0"/>
          <w:numId w:val="3"/>
        </w:numPr>
        <w:kinsoku/>
        <w:wordWrap/>
        <w:overflowPunct/>
        <w:topLinePunct w:val="0"/>
        <w:autoSpaceDE/>
        <w:autoSpaceDN/>
        <w:bidi w:val="0"/>
        <w:spacing w:line="560" w:lineRule="exact"/>
        <w:ind w:firstLine="576" w:firstLineChars="200"/>
        <w:textAlignment w:val="auto"/>
        <w:rPr>
          <w:rFonts w:hint="eastAsia" w:ascii="宋体" w:hAnsi="宋体" w:eastAsia="宋体" w:cs="宋体"/>
          <w:b w:val="0"/>
          <w:bCs w:val="0"/>
          <w:spacing w:val="4"/>
          <w:sz w:val="28"/>
          <w:szCs w:val="28"/>
          <w:lang w:val="en-US" w:eastAsia="zh-CN"/>
        </w:rPr>
      </w:pPr>
      <w:bookmarkStart w:id="2" w:name="_Hlk69461859"/>
      <w:r>
        <w:rPr>
          <w:rFonts w:hint="eastAsia" w:ascii="宋体" w:hAnsi="宋体" w:eastAsia="宋体" w:cs="宋体"/>
          <w:b w:val="0"/>
          <w:bCs w:val="0"/>
          <w:spacing w:val="4"/>
          <w:sz w:val="28"/>
          <w:szCs w:val="28"/>
          <w:lang w:eastAsia="zh-CN"/>
        </w:rPr>
        <w:t>厂家授权书、资质证明文件等其他证明资料</w:t>
      </w:r>
    </w:p>
    <w:p>
      <w:pPr>
        <w:keepNext w:val="0"/>
        <w:keepLines w:val="0"/>
        <w:pageBreakBefore w:val="0"/>
        <w:widowControl/>
        <w:numPr>
          <w:ilvl w:val="0"/>
          <w:numId w:val="3"/>
        </w:numPr>
        <w:kinsoku/>
        <w:wordWrap/>
        <w:overflowPunct/>
        <w:topLinePunct w:val="0"/>
        <w:autoSpaceDE/>
        <w:autoSpaceDN/>
        <w:bidi w:val="0"/>
        <w:spacing w:line="560" w:lineRule="exact"/>
        <w:ind w:firstLine="576" w:firstLineChars="200"/>
        <w:textAlignment w:val="auto"/>
        <w:rPr>
          <w:rFonts w:hint="eastAsia" w:ascii="宋体" w:hAnsi="宋体" w:eastAsia="宋体" w:cs="宋体"/>
          <w:b w:val="0"/>
          <w:bCs w:val="0"/>
          <w:spacing w:val="4"/>
          <w:sz w:val="28"/>
          <w:szCs w:val="28"/>
          <w:lang w:val="en-US" w:eastAsia="zh-CN"/>
        </w:rPr>
      </w:pPr>
      <w:r>
        <w:rPr>
          <w:rFonts w:hint="eastAsia" w:ascii="宋体" w:hAnsi="宋体" w:eastAsia="宋体" w:cs="宋体"/>
          <w:b w:val="0"/>
          <w:bCs w:val="0"/>
          <w:spacing w:val="4"/>
          <w:sz w:val="28"/>
          <w:szCs w:val="28"/>
          <w:lang w:eastAsia="zh-CN"/>
        </w:rPr>
        <w:t>投标人业绩、实力等其他证明资料（复印件加盖公章）</w:t>
      </w:r>
    </w:p>
    <w:p>
      <w:pPr>
        <w:keepNext w:val="0"/>
        <w:keepLines w:val="0"/>
        <w:pageBreakBefore w:val="0"/>
        <w:widowControl/>
        <w:numPr>
          <w:ilvl w:val="0"/>
          <w:numId w:val="3"/>
        </w:numPr>
        <w:kinsoku/>
        <w:wordWrap/>
        <w:overflowPunct/>
        <w:topLinePunct w:val="0"/>
        <w:autoSpaceDE/>
        <w:autoSpaceDN/>
        <w:bidi w:val="0"/>
        <w:spacing w:line="560" w:lineRule="exact"/>
        <w:ind w:firstLine="576" w:firstLineChars="200"/>
        <w:textAlignment w:val="auto"/>
        <w:rPr>
          <w:rFonts w:hint="eastAsia" w:ascii="宋体" w:hAnsi="宋体" w:eastAsia="宋体" w:cs="宋体"/>
          <w:b w:val="0"/>
          <w:bCs w:val="0"/>
          <w:spacing w:val="4"/>
          <w:sz w:val="28"/>
          <w:szCs w:val="28"/>
          <w:lang w:val="en-US" w:eastAsia="zh-CN"/>
        </w:rPr>
      </w:pPr>
      <w:r>
        <w:rPr>
          <w:rFonts w:hint="eastAsia" w:ascii="宋体" w:hAnsi="宋体" w:eastAsia="宋体" w:cs="宋体"/>
          <w:b w:val="0"/>
          <w:bCs w:val="0"/>
          <w:spacing w:val="4"/>
          <w:sz w:val="28"/>
          <w:szCs w:val="28"/>
          <w:lang w:eastAsia="zh-CN"/>
        </w:rPr>
        <w:t>投标人在“国家企业信用信息公示系统”网站、“信用中国”网站未被列为失信被执行人（提供查询结果网页截图）未列入《延长石油集团失信交易商名单》（附承诺书加盖公章）</w:t>
      </w:r>
    </w:p>
    <w:p>
      <w:pPr>
        <w:keepNext w:val="0"/>
        <w:keepLines w:val="0"/>
        <w:pageBreakBefore w:val="0"/>
        <w:widowControl/>
        <w:numPr>
          <w:ilvl w:val="0"/>
          <w:numId w:val="3"/>
        </w:numPr>
        <w:kinsoku/>
        <w:wordWrap/>
        <w:overflowPunct/>
        <w:topLinePunct w:val="0"/>
        <w:autoSpaceDE/>
        <w:autoSpaceDN/>
        <w:bidi w:val="0"/>
        <w:spacing w:line="560" w:lineRule="exact"/>
        <w:ind w:firstLine="576" w:firstLineChars="200"/>
        <w:textAlignment w:val="auto"/>
        <w:rPr>
          <w:rFonts w:hint="eastAsia" w:ascii="宋体" w:hAnsi="宋体" w:eastAsia="宋体" w:cs="宋体"/>
          <w:b w:val="0"/>
          <w:bCs w:val="0"/>
          <w:spacing w:val="4"/>
          <w:sz w:val="28"/>
          <w:szCs w:val="28"/>
          <w:lang w:eastAsia="zh-CN"/>
        </w:rPr>
      </w:pPr>
      <w:r>
        <w:rPr>
          <w:rFonts w:hint="eastAsia" w:ascii="宋体" w:hAnsi="宋体" w:eastAsia="宋体" w:cs="宋体"/>
          <w:b w:val="0"/>
          <w:bCs w:val="0"/>
          <w:spacing w:val="4"/>
          <w:sz w:val="28"/>
          <w:szCs w:val="28"/>
          <w:lang w:eastAsia="zh-CN"/>
        </w:rPr>
        <w:t>质量保证和售后服务</w:t>
      </w:r>
    </w:p>
    <w:bookmarkEnd w:id="2"/>
    <w:p>
      <w:pPr>
        <w:keepNext w:val="0"/>
        <w:keepLines w:val="0"/>
        <w:pageBreakBefore w:val="0"/>
        <w:widowControl/>
        <w:numPr>
          <w:ilvl w:val="0"/>
          <w:numId w:val="3"/>
        </w:numPr>
        <w:kinsoku/>
        <w:wordWrap/>
        <w:overflowPunct/>
        <w:topLinePunct w:val="0"/>
        <w:autoSpaceDE/>
        <w:autoSpaceDN/>
        <w:bidi w:val="0"/>
        <w:spacing w:line="560" w:lineRule="exact"/>
        <w:ind w:firstLine="576" w:firstLineChars="200"/>
        <w:textAlignment w:val="auto"/>
        <w:rPr>
          <w:rFonts w:hint="eastAsia" w:ascii="宋体" w:hAnsi="宋体" w:eastAsia="宋体" w:cs="宋体"/>
          <w:b w:val="0"/>
          <w:bCs w:val="0"/>
          <w:spacing w:val="4"/>
          <w:sz w:val="28"/>
          <w:szCs w:val="28"/>
          <w:lang w:eastAsia="zh-CN"/>
        </w:rPr>
      </w:pPr>
      <w:r>
        <w:rPr>
          <w:rFonts w:hint="eastAsia" w:ascii="宋体" w:hAnsi="宋体" w:eastAsia="宋体" w:cs="宋体"/>
          <w:b w:val="0"/>
          <w:bCs w:val="0"/>
          <w:spacing w:val="4"/>
          <w:sz w:val="28"/>
          <w:szCs w:val="28"/>
          <w:lang w:eastAsia="zh-CN"/>
        </w:rPr>
        <w:t>邀请函回执</w:t>
      </w:r>
    </w:p>
    <w:p>
      <w:pPr>
        <w:rPr>
          <w:rFonts w:hint="eastAsia" w:ascii="仿宋" w:hAnsi="仿宋" w:eastAsia="仿宋" w:cstheme="majorEastAsia"/>
          <w:b/>
          <w:bCs/>
          <w:sz w:val="44"/>
          <w:szCs w:val="44"/>
          <w:lang w:val="en-US" w:eastAsia="zh-CN"/>
        </w:rPr>
      </w:pPr>
      <w:r>
        <w:rPr>
          <w:rFonts w:hint="eastAsia" w:ascii="仿宋" w:hAnsi="仿宋" w:eastAsia="仿宋" w:cstheme="majorEastAsia"/>
          <w:b/>
          <w:bCs/>
          <w:sz w:val="44"/>
          <w:szCs w:val="44"/>
          <w:lang w:val="en-US" w:eastAsia="zh-CN"/>
        </w:rPr>
        <w:br w:type="page"/>
      </w:r>
    </w:p>
    <w:p>
      <w:pPr>
        <w:spacing w:line="560" w:lineRule="exact"/>
        <w:jc w:val="center"/>
        <w:rPr>
          <w:rFonts w:ascii="仿宋" w:hAnsi="仿宋" w:eastAsia="仿宋" w:cs="仿宋_GB2312"/>
          <w:b/>
          <w:bCs/>
          <w:sz w:val="44"/>
          <w:szCs w:val="44"/>
          <w:lang w:eastAsia="zh-CN"/>
        </w:rPr>
      </w:pPr>
      <w:r>
        <w:rPr>
          <w:rFonts w:hint="eastAsia" w:ascii="仿宋" w:hAnsi="仿宋" w:eastAsia="仿宋" w:cstheme="majorEastAsia"/>
          <w:b/>
          <w:bCs/>
          <w:sz w:val="44"/>
          <w:szCs w:val="44"/>
          <w:lang w:val="en-US" w:eastAsia="zh-CN"/>
        </w:rPr>
        <w:t>一</w:t>
      </w:r>
      <w:r>
        <w:rPr>
          <w:rFonts w:hint="eastAsia" w:ascii="仿宋" w:hAnsi="仿宋" w:eastAsia="仿宋" w:cstheme="majorEastAsia"/>
          <w:b/>
          <w:bCs/>
          <w:sz w:val="44"/>
          <w:szCs w:val="44"/>
          <w:lang w:eastAsia="zh-CN"/>
        </w:rPr>
        <w:t>、报价单</w:t>
      </w:r>
    </w:p>
    <w:p>
      <w:pPr>
        <w:spacing w:line="560" w:lineRule="exact"/>
        <w:rPr>
          <w:rFonts w:ascii="仿宋" w:hAnsi="仿宋" w:eastAsia="仿宋" w:cs="仿宋_GB2312"/>
          <w:sz w:val="32"/>
          <w:szCs w:val="32"/>
          <w:u w:val="single"/>
          <w:lang w:eastAsia="zh-CN"/>
        </w:rPr>
      </w:pPr>
      <w:r>
        <w:rPr>
          <w:rFonts w:hint="eastAsia" w:ascii="仿宋" w:hAnsi="仿宋" w:eastAsia="仿宋" w:cs="仿宋_GB2312"/>
          <w:sz w:val="32"/>
          <w:szCs w:val="32"/>
          <w:lang w:eastAsia="zh-CN"/>
        </w:rPr>
        <w:t>致：</w:t>
      </w:r>
      <w:r>
        <w:rPr>
          <w:rFonts w:hint="eastAsia" w:ascii="仿宋" w:hAnsi="仿宋" w:eastAsia="仿宋" w:cs="仿宋_GB2312"/>
          <w:sz w:val="32"/>
          <w:szCs w:val="32"/>
          <w:u w:val="single"/>
          <w:lang w:eastAsia="zh-CN"/>
        </w:rPr>
        <w:t xml:space="preserve">陕西燃气集团工程有限公司 </w:t>
      </w:r>
    </w:p>
    <w:p>
      <w:pPr>
        <w:numPr>
          <w:ilvl w:val="0"/>
          <w:numId w:val="4"/>
        </w:numPr>
        <w:tabs>
          <w:tab w:val="left" w:pos="7560"/>
        </w:tabs>
        <w:spacing w:line="560" w:lineRule="exact"/>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就贵公司</w:t>
      </w:r>
      <w:r>
        <w:rPr>
          <w:rFonts w:hint="eastAsia" w:ascii="仿宋" w:hAnsi="仿宋" w:eastAsia="仿宋" w:cs="仿宋_GB2312"/>
          <w:sz w:val="32"/>
          <w:szCs w:val="32"/>
          <w:u w:val="single"/>
          <w:lang w:val="en-US" w:eastAsia="zh-CN"/>
        </w:rPr>
        <w:t xml:space="preserve">  咸阳市热力公司利用热电联产热网新建及改建项目二期工程补偿器采购 </w:t>
      </w:r>
      <w:r>
        <w:rPr>
          <w:rFonts w:hint="eastAsia" w:ascii="宋体" w:hAnsi="宋体" w:cs="宋体"/>
          <w:sz w:val="28"/>
          <w:szCs w:val="28"/>
          <w:u w:val="single"/>
          <w:lang w:val="en-US" w:eastAsia="zh-CN"/>
        </w:rPr>
        <w:t xml:space="preserve"> </w:t>
      </w:r>
      <w:r>
        <w:rPr>
          <w:rFonts w:hint="eastAsia" w:ascii="仿宋" w:hAnsi="仿宋" w:eastAsia="仿宋" w:cs="仿宋_GB2312"/>
          <w:sz w:val="32"/>
          <w:szCs w:val="32"/>
          <w:lang w:eastAsia="zh-CN"/>
        </w:rPr>
        <w:t>事宜，结合市场行情，我方本次材料报价为：</w:t>
      </w:r>
    </w:p>
    <w:tbl>
      <w:tblPr>
        <w:tblStyle w:val="20"/>
        <w:tblW w:w="10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318"/>
        <w:gridCol w:w="1649"/>
        <w:gridCol w:w="550"/>
        <w:gridCol w:w="508"/>
        <w:gridCol w:w="1099"/>
        <w:gridCol w:w="888"/>
        <w:gridCol w:w="891"/>
        <w:gridCol w:w="933"/>
        <w:gridCol w:w="900"/>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678"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序号</w:t>
            </w:r>
          </w:p>
        </w:tc>
        <w:tc>
          <w:tcPr>
            <w:tcW w:w="1318"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物资名称</w:t>
            </w:r>
          </w:p>
        </w:tc>
        <w:tc>
          <w:tcPr>
            <w:tcW w:w="1649"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规格</w:t>
            </w:r>
          </w:p>
        </w:tc>
        <w:tc>
          <w:tcPr>
            <w:tcW w:w="550"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单位</w:t>
            </w:r>
          </w:p>
        </w:tc>
        <w:tc>
          <w:tcPr>
            <w:tcW w:w="508"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数量</w:t>
            </w:r>
          </w:p>
        </w:tc>
        <w:tc>
          <w:tcPr>
            <w:tcW w:w="1099"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不含税单价（元）</w:t>
            </w:r>
          </w:p>
        </w:tc>
        <w:tc>
          <w:tcPr>
            <w:tcW w:w="888"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含税单价（元）</w:t>
            </w:r>
          </w:p>
        </w:tc>
        <w:tc>
          <w:tcPr>
            <w:tcW w:w="891"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合价（元）</w:t>
            </w:r>
          </w:p>
        </w:tc>
        <w:tc>
          <w:tcPr>
            <w:tcW w:w="933"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品牌</w:t>
            </w:r>
          </w:p>
        </w:tc>
        <w:tc>
          <w:tcPr>
            <w:tcW w:w="900"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生产</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厂家</w:t>
            </w:r>
          </w:p>
        </w:tc>
        <w:tc>
          <w:tcPr>
            <w:tcW w:w="1462"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678"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1318"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单向无泄漏套筒补偿器</w:t>
            </w:r>
          </w:p>
        </w:tc>
        <w:tc>
          <w:tcPr>
            <w:tcW w:w="1649"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DN100 △X=200mm 1.6Mpa</w:t>
            </w:r>
          </w:p>
        </w:tc>
        <w:tc>
          <w:tcPr>
            <w:tcW w:w="550"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个</w:t>
            </w:r>
          </w:p>
        </w:tc>
        <w:tc>
          <w:tcPr>
            <w:tcW w:w="508"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w:t>
            </w:r>
          </w:p>
        </w:tc>
        <w:tc>
          <w:tcPr>
            <w:tcW w:w="1099"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default" w:asciiTheme="minorEastAsia" w:hAnsiTheme="minorEastAsia" w:eastAsiaTheme="minorEastAsia" w:cstheme="minorEastAsia"/>
                <w:kern w:val="2"/>
                <w:sz w:val="24"/>
                <w:szCs w:val="24"/>
                <w:lang w:val="en-US" w:eastAsia="zh-CN" w:bidi="ar-SA"/>
              </w:rPr>
            </w:pPr>
          </w:p>
        </w:tc>
        <w:tc>
          <w:tcPr>
            <w:tcW w:w="888"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default" w:asciiTheme="minorEastAsia" w:hAnsiTheme="minorEastAsia" w:eastAsiaTheme="minorEastAsia" w:cstheme="minorEastAsia"/>
                <w:kern w:val="2"/>
                <w:sz w:val="24"/>
                <w:szCs w:val="24"/>
                <w:lang w:val="en-US" w:eastAsia="zh-CN" w:bidi="ar-SA"/>
              </w:rPr>
            </w:pPr>
          </w:p>
        </w:tc>
        <w:tc>
          <w:tcPr>
            <w:tcW w:w="891"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933"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900"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1462"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CJ/T487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678"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w:t>
            </w:r>
          </w:p>
        </w:tc>
        <w:tc>
          <w:tcPr>
            <w:tcW w:w="1318"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单向无泄漏套筒补偿器</w:t>
            </w:r>
          </w:p>
        </w:tc>
        <w:tc>
          <w:tcPr>
            <w:tcW w:w="1649"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DN100 △X=300mm 1.6Mpa</w:t>
            </w:r>
          </w:p>
        </w:tc>
        <w:tc>
          <w:tcPr>
            <w:tcW w:w="550"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个</w:t>
            </w:r>
          </w:p>
        </w:tc>
        <w:tc>
          <w:tcPr>
            <w:tcW w:w="508"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w:t>
            </w:r>
          </w:p>
        </w:tc>
        <w:tc>
          <w:tcPr>
            <w:tcW w:w="1099"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default" w:asciiTheme="minorEastAsia" w:hAnsiTheme="minorEastAsia" w:eastAsiaTheme="minorEastAsia" w:cstheme="minorEastAsia"/>
                <w:kern w:val="2"/>
                <w:sz w:val="24"/>
                <w:szCs w:val="24"/>
                <w:lang w:val="en-US" w:eastAsia="zh-CN" w:bidi="ar-SA"/>
              </w:rPr>
            </w:pPr>
          </w:p>
        </w:tc>
        <w:tc>
          <w:tcPr>
            <w:tcW w:w="888"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default" w:asciiTheme="minorEastAsia" w:hAnsiTheme="minorEastAsia" w:eastAsiaTheme="minorEastAsia" w:cstheme="minorEastAsia"/>
                <w:kern w:val="2"/>
                <w:sz w:val="24"/>
                <w:szCs w:val="24"/>
                <w:lang w:val="en-US" w:eastAsia="zh-CN" w:bidi="ar-SA"/>
              </w:rPr>
            </w:pPr>
          </w:p>
        </w:tc>
        <w:tc>
          <w:tcPr>
            <w:tcW w:w="891"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933"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900"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1462"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CJ/T487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678"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w:t>
            </w:r>
          </w:p>
        </w:tc>
        <w:tc>
          <w:tcPr>
            <w:tcW w:w="1318"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单向无泄漏套筒补偿器</w:t>
            </w:r>
          </w:p>
        </w:tc>
        <w:tc>
          <w:tcPr>
            <w:tcW w:w="1649"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DN200 △X=200mm 1.6Mpa</w:t>
            </w:r>
          </w:p>
        </w:tc>
        <w:tc>
          <w:tcPr>
            <w:tcW w:w="550"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个</w:t>
            </w:r>
          </w:p>
        </w:tc>
        <w:tc>
          <w:tcPr>
            <w:tcW w:w="508"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w:t>
            </w:r>
          </w:p>
        </w:tc>
        <w:tc>
          <w:tcPr>
            <w:tcW w:w="1099"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default" w:asciiTheme="minorEastAsia" w:hAnsiTheme="minorEastAsia" w:eastAsiaTheme="minorEastAsia" w:cstheme="minorEastAsia"/>
                <w:kern w:val="2"/>
                <w:sz w:val="24"/>
                <w:szCs w:val="24"/>
                <w:lang w:val="en-US" w:eastAsia="zh-CN" w:bidi="ar-SA"/>
              </w:rPr>
            </w:pPr>
          </w:p>
        </w:tc>
        <w:tc>
          <w:tcPr>
            <w:tcW w:w="888"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default" w:asciiTheme="minorEastAsia" w:hAnsiTheme="minorEastAsia" w:eastAsiaTheme="minorEastAsia" w:cstheme="minorEastAsia"/>
                <w:kern w:val="2"/>
                <w:sz w:val="24"/>
                <w:szCs w:val="24"/>
                <w:lang w:val="en-US" w:eastAsia="zh-CN" w:bidi="ar-SA"/>
              </w:rPr>
            </w:pPr>
          </w:p>
        </w:tc>
        <w:tc>
          <w:tcPr>
            <w:tcW w:w="891"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933"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900"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1462"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CJ/T487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678"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w:t>
            </w:r>
          </w:p>
        </w:tc>
        <w:tc>
          <w:tcPr>
            <w:tcW w:w="1318"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单向无泄漏套筒补偿器</w:t>
            </w:r>
          </w:p>
        </w:tc>
        <w:tc>
          <w:tcPr>
            <w:tcW w:w="1649"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DN200 △X=300mm 1.6Mpa</w:t>
            </w:r>
          </w:p>
        </w:tc>
        <w:tc>
          <w:tcPr>
            <w:tcW w:w="550"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个</w:t>
            </w:r>
          </w:p>
        </w:tc>
        <w:tc>
          <w:tcPr>
            <w:tcW w:w="508"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w:t>
            </w:r>
          </w:p>
        </w:tc>
        <w:tc>
          <w:tcPr>
            <w:tcW w:w="1099"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default" w:asciiTheme="minorEastAsia" w:hAnsiTheme="minorEastAsia" w:eastAsiaTheme="minorEastAsia" w:cstheme="minorEastAsia"/>
                <w:kern w:val="2"/>
                <w:sz w:val="24"/>
                <w:szCs w:val="24"/>
                <w:lang w:val="en-US" w:eastAsia="zh-CN" w:bidi="ar-SA"/>
              </w:rPr>
            </w:pPr>
          </w:p>
        </w:tc>
        <w:tc>
          <w:tcPr>
            <w:tcW w:w="888"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default" w:asciiTheme="minorEastAsia" w:hAnsiTheme="minorEastAsia" w:eastAsiaTheme="minorEastAsia" w:cstheme="minorEastAsia"/>
                <w:kern w:val="2"/>
                <w:sz w:val="24"/>
                <w:szCs w:val="24"/>
                <w:lang w:val="en-US" w:eastAsia="zh-CN" w:bidi="ar-SA"/>
              </w:rPr>
            </w:pPr>
          </w:p>
        </w:tc>
        <w:tc>
          <w:tcPr>
            <w:tcW w:w="891"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933"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900"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1462"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CJ/T487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678"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w:t>
            </w:r>
          </w:p>
        </w:tc>
        <w:tc>
          <w:tcPr>
            <w:tcW w:w="1318"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单向无泄漏套筒补偿器</w:t>
            </w:r>
          </w:p>
        </w:tc>
        <w:tc>
          <w:tcPr>
            <w:tcW w:w="1649"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DN350 △X=200mm 1.6Mpa</w:t>
            </w:r>
          </w:p>
        </w:tc>
        <w:tc>
          <w:tcPr>
            <w:tcW w:w="550"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个</w:t>
            </w:r>
          </w:p>
        </w:tc>
        <w:tc>
          <w:tcPr>
            <w:tcW w:w="508"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w:t>
            </w:r>
          </w:p>
        </w:tc>
        <w:tc>
          <w:tcPr>
            <w:tcW w:w="1099"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default" w:asciiTheme="minorEastAsia" w:hAnsiTheme="minorEastAsia" w:eastAsiaTheme="minorEastAsia" w:cstheme="minorEastAsia"/>
                <w:kern w:val="2"/>
                <w:sz w:val="24"/>
                <w:szCs w:val="24"/>
                <w:lang w:val="en-US" w:eastAsia="zh-CN" w:bidi="ar-SA"/>
              </w:rPr>
            </w:pPr>
          </w:p>
        </w:tc>
        <w:tc>
          <w:tcPr>
            <w:tcW w:w="888"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default" w:asciiTheme="minorEastAsia" w:hAnsiTheme="minorEastAsia" w:eastAsiaTheme="minorEastAsia" w:cstheme="minorEastAsia"/>
                <w:kern w:val="2"/>
                <w:sz w:val="24"/>
                <w:szCs w:val="24"/>
                <w:lang w:val="en-US" w:eastAsia="zh-CN" w:bidi="ar-SA"/>
              </w:rPr>
            </w:pPr>
          </w:p>
        </w:tc>
        <w:tc>
          <w:tcPr>
            <w:tcW w:w="891"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933"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900"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1462"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CJ/T487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678"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w:t>
            </w:r>
          </w:p>
        </w:tc>
        <w:tc>
          <w:tcPr>
            <w:tcW w:w="1318"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单向无泄漏套筒补偿器</w:t>
            </w:r>
          </w:p>
        </w:tc>
        <w:tc>
          <w:tcPr>
            <w:tcW w:w="1649"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DN350 △X=300mm 1.6Mpa</w:t>
            </w:r>
          </w:p>
        </w:tc>
        <w:tc>
          <w:tcPr>
            <w:tcW w:w="550"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个</w:t>
            </w:r>
          </w:p>
        </w:tc>
        <w:tc>
          <w:tcPr>
            <w:tcW w:w="508"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w:t>
            </w:r>
          </w:p>
        </w:tc>
        <w:tc>
          <w:tcPr>
            <w:tcW w:w="1099"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default" w:asciiTheme="minorEastAsia" w:hAnsiTheme="minorEastAsia" w:eastAsiaTheme="minorEastAsia" w:cstheme="minorEastAsia"/>
                <w:kern w:val="2"/>
                <w:sz w:val="24"/>
                <w:szCs w:val="24"/>
                <w:lang w:val="en-US" w:eastAsia="zh-CN" w:bidi="ar-SA"/>
              </w:rPr>
            </w:pPr>
          </w:p>
        </w:tc>
        <w:tc>
          <w:tcPr>
            <w:tcW w:w="888"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default" w:asciiTheme="minorEastAsia" w:hAnsiTheme="minorEastAsia" w:eastAsiaTheme="minorEastAsia" w:cstheme="minorEastAsia"/>
                <w:kern w:val="2"/>
                <w:sz w:val="24"/>
                <w:szCs w:val="24"/>
                <w:lang w:val="en-US" w:eastAsia="zh-CN" w:bidi="ar-SA"/>
              </w:rPr>
            </w:pPr>
          </w:p>
        </w:tc>
        <w:tc>
          <w:tcPr>
            <w:tcW w:w="891"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933"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900"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1462"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CJ/T487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678"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w:t>
            </w:r>
          </w:p>
        </w:tc>
        <w:tc>
          <w:tcPr>
            <w:tcW w:w="1318"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单向无泄漏套筒补偿器</w:t>
            </w:r>
          </w:p>
        </w:tc>
        <w:tc>
          <w:tcPr>
            <w:tcW w:w="1649"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DN400 △X=200mm 1.6Mpa</w:t>
            </w:r>
          </w:p>
        </w:tc>
        <w:tc>
          <w:tcPr>
            <w:tcW w:w="550"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个</w:t>
            </w:r>
          </w:p>
        </w:tc>
        <w:tc>
          <w:tcPr>
            <w:tcW w:w="508"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w:t>
            </w:r>
          </w:p>
        </w:tc>
        <w:tc>
          <w:tcPr>
            <w:tcW w:w="1099"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default" w:asciiTheme="minorEastAsia" w:hAnsiTheme="minorEastAsia" w:eastAsiaTheme="minorEastAsia" w:cstheme="minorEastAsia"/>
                <w:kern w:val="2"/>
                <w:sz w:val="24"/>
                <w:szCs w:val="24"/>
                <w:lang w:val="en-US" w:eastAsia="zh-CN" w:bidi="ar-SA"/>
              </w:rPr>
            </w:pPr>
          </w:p>
        </w:tc>
        <w:tc>
          <w:tcPr>
            <w:tcW w:w="888"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default" w:asciiTheme="minorEastAsia" w:hAnsiTheme="minorEastAsia" w:eastAsiaTheme="minorEastAsia" w:cstheme="minorEastAsia"/>
                <w:kern w:val="2"/>
                <w:sz w:val="24"/>
                <w:szCs w:val="24"/>
                <w:lang w:val="en-US" w:eastAsia="zh-CN" w:bidi="ar-SA"/>
              </w:rPr>
            </w:pPr>
          </w:p>
        </w:tc>
        <w:tc>
          <w:tcPr>
            <w:tcW w:w="891"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933"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900"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1462"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CJ/T487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678"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w:t>
            </w:r>
          </w:p>
        </w:tc>
        <w:tc>
          <w:tcPr>
            <w:tcW w:w="1318"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单向无泄漏套筒补偿器</w:t>
            </w:r>
          </w:p>
        </w:tc>
        <w:tc>
          <w:tcPr>
            <w:tcW w:w="1649"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DN400 △X=300mm 1.6Mpa</w:t>
            </w:r>
          </w:p>
        </w:tc>
        <w:tc>
          <w:tcPr>
            <w:tcW w:w="550"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个</w:t>
            </w:r>
          </w:p>
        </w:tc>
        <w:tc>
          <w:tcPr>
            <w:tcW w:w="508"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w:t>
            </w:r>
          </w:p>
        </w:tc>
        <w:tc>
          <w:tcPr>
            <w:tcW w:w="1099"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default" w:asciiTheme="minorEastAsia" w:hAnsiTheme="minorEastAsia" w:eastAsiaTheme="minorEastAsia" w:cstheme="minorEastAsia"/>
                <w:kern w:val="2"/>
                <w:sz w:val="24"/>
                <w:szCs w:val="24"/>
                <w:lang w:val="en-US" w:eastAsia="zh-CN" w:bidi="ar-SA"/>
              </w:rPr>
            </w:pPr>
          </w:p>
        </w:tc>
        <w:tc>
          <w:tcPr>
            <w:tcW w:w="888"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default" w:asciiTheme="minorEastAsia" w:hAnsiTheme="minorEastAsia" w:eastAsiaTheme="minorEastAsia" w:cstheme="minorEastAsia"/>
                <w:kern w:val="2"/>
                <w:sz w:val="24"/>
                <w:szCs w:val="24"/>
                <w:lang w:val="en-US" w:eastAsia="zh-CN" w:bidi="ar-SA"/>
              </w:rPr>
            </w:pPr>
          </w:p>
        </w:tc>
        <w:tc>
          <w:tcPr>
            <w:tcW w:w="891"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933"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900"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1462"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CJ/T487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678"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w:t>
            </w:r>
          </w:p>
        </w:tc>
        <w:tc>
          <w:tcPr>
            <w:tcW w:w="1318"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单向无泄漏套筒补偿器</w:t>
            </w:r>
          </w:p>
        </w:tc>
        <w:tc>
          <w:tcPr>
            <w:tcW w:w="1649"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DN600 △X=200mm 1.6Mpa</w:t>
            </w:r>
          </w:p>
        </w:tc>
        <w:tc>
          <w:tcPr>
            <w:tcW w:w="550"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个</w:t>
            </w:r>
          </w:p>
        </w:tc>
        <w:tc>
          <w:tcPr>
            <w:tcW w:w="508"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11</w:t>
            </w:r>
          </w:p>
        </w:tc>
        <w:tc>
          <w:tcPr>
            <w:tcW w:w="1099"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default" w:asciiTheme="minorEastAsia" w:hAnsiTheme="minorEastAsia" w:eastAsiaTheme="minorEastAsia" w:cstheme="minorEastAsia"/>
                <w:kern w:val="2"/>
                <w:sz w:val="24"/>
                <w:szCs w:val="24"/>
                <w:lang w:val="en-US" w:eastAsia="zh-CN" w:bidi="ar-SA"/>
              </w:rPr>
            </w:pPr>
          </w:p>
        </w:tc>
        <w:tc>
          <w:tcPr>
            <w:tcW w:w="888"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default" w:asciiTheme="minorEastAsia" w:hAnsiTheme="minorEastAsia" w:eastAsiaTheme="minorEastAsia" w:cstheme="minorEastAsia"/>
                <w:kern w:val="2"/>
                <w:sz w:val="24"/>
                <w:szCs w:val="24"/>
                <w:lang w:val="en-US" w:eastAsia="zh-CN" w:bidi="ar-SA"/>
              </w:rPr>
            </w:pPr>
          </w:p>
        </w:tc>
        <w:tc>
          <w:tcPr>
            <w:tcW w:w="891"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933"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900"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1462"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CJ/T487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678"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10</w:t>
            </w:r>
          </w:p>
        </w:tc>
        <w:tc>
          <w:tcPr>
            <w:tcW w:w="1318"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单向无泄漏套筒补偿器</w:t>
            </w:r>
          </w:p>
        </w:tc>
        <w:tc>
          <w:tcPr>
            <w:tcW w:w="1649"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DN600 △X=300mm 1.6Mpa</w:t>
            </w:r>
          </w:p>
        </w:tc>
        <w:tc>
          <w:tcPr>
            <w:tcW w:w="550"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个</w:t>
            </w:r>
          </w:p>
        </w:tc>
        <w:tc>
          <w:tcPr>
            <w:tcW w:w="508"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11</w:t>
            </w:r>
          </w:p>
        </w:tc>
        <w:tc>
          <w:tcPr>
            <w:tcW w:w="1099"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default" w:asciiTheme="minorEastAsia" w:hAnsiTheme="minorEastAsia" w:eastAsiaTheme="minorEastAsia" w:cstheme="minorEastAsia"/>
                <w:kern w:val="2"/>
                <w:sz w:val="24"/>
                <w:szCs w:val="24"/>
                <w:lang w:val="en-US" w:eastAsia="zh-CN" w:bidi="ar-SA"/>
              </w:rPr>
            </w:pPr>
          </w:p>
        </w:tc>
        <w:tc>
          <w:tcPr>
            <w:tcW w:w="888"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default" w:asciiTheme="minorEastAsia" w:hAnsiTheme="minorEastAsia" w:eastAsiaTheme="minorEastAsia" w:cstheme="minorEastAsia"/>
                <w:kern w:val="2"/>
                <w:sz w:val="24"/>
                <w:szCs w:val="24"/>
                <w:lang w:val="en-US" w:eastAsia="zh-CN" w:bidi="ar-SA"/>
              </w:rPr>
            </w:pPr>
          </w:p>
        </w:tc>
        <w:tc>
          <w:tcPr>
            <w:tcW w:w="891"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933"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900"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1462"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CJ/T487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678"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11</w:t>
            </w:r>
          </w:p>
        </w:tc>
        <w:tc>
          <w:tcPr>
            <w:tcW w:w="1318"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单向无泄漏套筒补偿器</w:t>
            </w:r>
          </w:p>
        </w:tc>
        <w:tc>
          <w:tcPr>
            <w:tcW w:w="1649"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DN700 △X=200mm 1.6Mpa</w:t>
            </w:r>
          </w:p>
        </w:tc>
        <w:tc>
          <w:tcPr>
            <w:tcW w:w="550"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个</w:t>
            </w:r>
          </w:p>
        </w:tc>
        <w:tc>
          <w:tcPr>
            <w:tcW w:w="508"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w:t>
            </w:r>
          </w:p>
        </w:tc>
        <w:tc>
          <w:tcPr>
            <w:tcW w:w="1099"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default" w:asciiTheme="minorEastAsia" w:hAnsiTheme="minorEastAsia" w:eastAsiaTheme="minorEastAsia" w:cstheme="minorEastAsia"/>
                <w:kern w:val="2"/>
                <w:sz w:val="24"/>
                <w:szCs w:val="24"/>
                <w:lang w:val="en-US" w:eastAsia="zh-CN" w:bidi="ar-SA"/>
              </w:rPr>
            </w:pPr>
          </w:p>
        </w:tc>
        <w:tc>
          <w:tcPr>
            <w:tcW w:w="888"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default" w:asciiTheme="minorEastAsia" w:hAnsiTheme="minorEastAsia" w:eastAsiaTheme="minorEastAsia" w:cstheme="minorEastAsia"/>
                <w:kern w:val="2"/>
                <w:sz w:val="24"/>
                <w:szCs w:val="24"/>
                <w:lang w:val="en-US" w:eastAsia="zh-CN" w:bidi="ar-SA"/>
              </w:rPr>
            </w:pPr>
          </w:p>
        </w:tc>
        <w:tc>
          <w:tcPr>
            <w:tcW w:w="891"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933"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900"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1462"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CJ/T487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678"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12</w:t>
            </w:r>
          </w:p>
        </w:tc>
        <w:tc>
          <w:tcPr>
            <w:tcW w:w="1318"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单向无泄漏套筒补偿器</w:t>
            </w:r>
          </w:p>
        </w:tc>
        <w:tc>
          <w:tcPr>
            <w:tcW w:w="1649"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DN700 △X=300mm 1.6Mpa</w:t>
            </w:r>
          </w:p>
        </w:tc>
        <w:tc>
          <w:tcPr>
            <w:tcW w:w="550"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个</w:t>
            </w:r>
          </w:p>
        </w:tc>
        <w:tc>
          <w:tcPr>
            <w:tcW w:w="508"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w:t>
            </w:r>
          </w:p>
        </w:tc>
        <w:tc>
          <w:tcPr>
            <w:tcW w:w="1099"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default" w:asciiTheme="minorEastAsia" w:hAnsiTheme="minorEastAsia" w:eastAsiaTheme="minorEastAsia" w:cstheme="minorEastAsia"/>
                <w:kern w:val="2"/>
                <w:sz w:val="24"/>
                <w:szCs w:val="24"/>
                <w:lang w:val="en-US" w:eastAsia="zh-CN" w:bidi="ar-SA"/>
              </w:rPr>
            </w:pPr>
          </w:p>
        </w:tc>
        <w:tc>
          <w:tcPr>
            <w:tcW w:w="888"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default" w:asciiTheme="minorEastAsia" w:hAnsiTheme="minorEastAsia" w:eastAsiaTheme="minorEastAsia" w:cstheme="minorEastAsia"/>
                <w:kern w:val="2"/>
                <w:sz w:val="24"/>
                <w:szCs w:val="24"/>
                <w:lang w:val="en-US" w:eastAsia="zh-CN" w:bidi="ar-SA"/>
              </w:rPr>
            </w:pPr>
          </w:p>
        </w:tc>
        <w:tc>
          <w:tcPr>
            <w:tcW w:w="891"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933"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900"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1462"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CJ/T487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678"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13</w:t>
            </w:r>
          </w:p>
        </w:tc>
        <w:tc>
          <w:tcPr>
            <w:tcW w:w="1318"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注填式万向球形补偿器</w:t>
            </w:r>
          </w:p>
        </w:tc>
        <w:tc>
          <w:tcPr>
            <w:tcW w:w="1649"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DN100 最大折曲角θ=±12°   1.6Mpa</w:t>
            </w:r>
          </w:p>
        </w:tc>
        <w:tc>
          <w:tcPr>
            <w:tcW w:w="550"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个</w:t>
            </w:r>
          </w:p>
        </w:tc>
        <w:tc>
          <w:tcPr>
            <w:tcW w:w="508"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w:t>
            </w:r>
          </w:p>
        </w:tc>
        <w:tc>
          <w:tcPr>
            <w:tcW w:w="1099"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default" w:asciiTheme="minorEastAsia" w:hAnsiTheme="minorEastAsia" w:eastAsiaTheme="minorEastAsia" w:cstheme="minorEastAsia"/>
                <w:kern w:val="2"/>
                <w:sz w:val="24"/>
                <w:szCs w:val="24"/>
                <w:lang w:val="en-US" w:eastAsia="zh-CN" w:bidi="ar-SA"/>
              </w:rPr>
            </w:pPr>
          </w:p>
        </w:tc>
        <w:tc>
          <w:tcPr>
            <w:tcW w:w="888"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default" w:asciiTheme="minorEastAsia" w:hAnsiTheme="minorEastAsia" w:eastAsiaTheme="minorEastAsia" w:cstheme="minorEastAsia"/>
                <w:kern w:val="2"/>
                <w:sz w:val="24"/>
                <w:szCs w:val="24"/>
                <w:lang w:val="en-US" w:eastAsia="zh-CN" w:bidi="ar-SA"/>
              </w:rPr>
            </w:pPr>
          </w:p>
        </w:tc>
        <w:tc>
          <w:tcPr>
            <w:tcW w:w="891"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933"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900"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1462"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GB/T37261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678"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14</w:t>
            </w:r>
          </w:p>
        </w:tc>
        <w:tc>
          <w:tcPr>
            <w:tcW w:w="1318"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注填式万向球型补偿器</w:t>
            </w:r>
          </w:p>
        </w:tc>
        <w:tc>
          <w:tcPr>
            <w:tcW w:w="1649"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DN200 最大折曲角θ=±15°   1.6Mpa</w:t>
            </w:r>
          </w:p>
        </w:tc>
        <w:tc>
          <w:tcPr>
            <w:tcW w:w="550"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个</w:t>
            </w:r>
          </w:p>
        </w:tc>
        <w:tc>
          <w:tcPr>
            <w:tcW w:w="508"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w:t>
            </w:r>
          </w:p>
        </w:tc>
        <w:tc>
          <w:tcPr>
            <w:tcW w:w="1099"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default" w:asciiTheme="minorEastAsia" w:hAnsiTheme="minorEastAsia" w:eastAsiaTheme="minorEastAsia" w:cstheme="minorEastAsia"/>
                <w:kern w:val="2"/>
                <w:sz w:val="24"/>
                <w:szCs w:val="24"/>
                <w:lang w:val="en-US" w:eastAsia="zh-CN" w:bidi="ar-SA"/>
              </w:rPr>
            </w:pPr>
          </w:p>
        </w:tc>
        <w:tc>
          <w:tcPr>
            <w:tcW w:w="888"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default" w:asciiTheme="minorEastAsia" w:hAnsiTheme="minorEastAsia" w:eastAsiaTheme="minorEastAsia" w:cstheme="minorEastAsia"/>
                <w:kern w:val="2"/>
                <w:sz w:val="24"/>
                <w:szCs w:val="24"/>
                <w:lang w:val="en-US" w:eastAsia="zh-CN" w:bidi="ar-SA"/>
              </w:rPr>
            </w:pPr>
          </w:p>
        </w:tc>
        <w:tc>
          <w:tcPr>
            <w:tcW w:w="891"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933"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900"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1462"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GB/T37261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678"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15</w:t>
            </w:r>
          </w:p>
        </w:tc>
        <w:tc>
          <w:tcPr>
            <w:tcW w:w="1318"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注填式万向球型补偿器</w:t>
            </w:r>
          </w:p>
        </w:tc>
        <w:tc>
          <w:tcPr>
            <w:tcW w:w="1649"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DN250 最大折曲角θ=±12  1.6Mpa</w:t>
            </w:r>
          </w:p>
        </w:tc>
        <w:tc>
          <w:tcPr>
            <w:tcW w:w="550"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个</w:t>
            </w:r>
          </w:p>
        </w:tc>
        <w:tc>
          <w:tcPr>
            <w:tcW w:w="508"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w:t>
            </w:r>
          </w:p>
        </w:tc>
        <w:tc>
          <w:tcPr>
            <w:tcW w:w="1099"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default" w:asciiTheme="minorEastAsia" w:hAnsiTheme="minorEastAsia" w:eastAsiaTheme="minorEastAsia" w:cstheme="minorEastAsia"/>
                <w:kern w:val="2"/>
                <w:sz w:val="24"/>
                <w:szCs w:val="24"/>
                <w:lang w:val="en-US" w:eastAsia="zh-CN" w:bidi="ar-SA"/>
              </w:rPr>
            </w:pPr>
          </w:p>
        </w:tc>
        <w:tc>
          <w:tcPr>
            <w:tcW w:w="888"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default" w:asciiTheme="minorEastAsia" w:hAnsiTheme="minorEastAsia" w:eastAsiaTheme="minorEastAsia" w:cstheme="minorEastAsia"/>
                <w:kern w:val="2"/>
                <w:sz w:val="24"/>
                <w:szCs w:val="24"/>
                <w:lang w:val="en-US" w:eastAsia="zh-CN" w:bidi="ar-SA"/>
              </w:rPr>
            </w:pPr>
          </w:p>
        </w:tc>
        <w:tc>
          <w:tcPr>
            <w:tcW w:w="891"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933"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900"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1462"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GB/T37261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678"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16</w:t>
            </w:r>
          </w:p>
        </w:tc>
        <w:tc>
          <w:tcPr>
            <w:tcW w:w="1318"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注填式万向球形补偿器</w:t>
            </w:r>
          </w:p>
        </w:tc>
        <w:tc>
          <w:tcPr>
            <w:tcW w:w="1649"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DN700 最大折曲角θ=±12°1.6Mpa</w:t>
            </w:r>
          </w:p>
        </w:tc>
        <w:tc>
          <w:tcPr>
            <w:tcW w:w="550"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个</w:t>
            </w:r>
          </w:p>
        </w:tc>
        <w:tc>
          <w:tcPr>
            <w:tcW w:w="508"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w:t>
            </w:r>
          </w:p>
        </w:tc>
        <w:tc>
          <w:tcPr>
            <w:tcW w:w="1099"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default" w:asciiTheme="minorEastAsia" w:hAnsiTheme="minorEastAsia" w:eastAsiaTheme="minorEastAsia" w:cstheme="minorEastAsia"/>
                <w:kern w:val="2"/>
                <w:sz w:val="24"/>
                <w:szCs w:val="24"/>
                <w:lang w:val="en-US" w:eastAsia="zh-CN" w:bidi="ar-SA"/>
              </w:rPr>
            </w:pPr>
          </w:p>
        </w:tc>
        <w:tc>
          <w:tcPr>
            <w:tcW w:w="888"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default" w:asciiTheme="minorEastAsia" w:hAnsiTheme="minorEastAsia" w:eastAsiaTheme="minorEastAsia" w:cstheme="minorEastAsia"/>
                <w:kern w:val="2"/>
                <w:sz w:val="24"/>
                <w:szCs w:val="24"/>
                <w:lang w:val="en-US" w:eastAsia="zh-CN" w:bidi="ar-SA"/>
              </w:rPr>
            </w:pPr>
          </w:p>
        </w:tc>
        <w:tc>
          <w:tcPr>
            <w:tcW w:w="891"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933"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900"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p>
        </w:tc>
        <w:tc>
          <w:tcPr>
            <w:tcW w:w="1462"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GB/T37261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678" w:type="dxa"/>
            <w:vAlign w:val="center"/>
          </w:tcPr>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合计</w:t>
            </w:r>
          </w:p>
        </w:tc>
        <w:tc>
          <w:tcPr>
            <w:tcW w:w="10198" w:type="dxa"/>
            <w:gridSpan w:val="10"/>
            <w:vAlign w:val="center"/>
          </w:tcPr>
          <w:p>
            <w:pPr>
              <w:pStyle w:val="2"/>
              <w:keepNext w:val="0"/>
              <w:keepLines w:val="0"/>
              <w:pageBreakBefore w:val="0"/>
              <w:widowControl/>
              <w:tabs>
                <w:tab w:val="left" w:pos="839"/>
              </w:tabs>
              <w:kinsoku/>
              <w:wordWrap/>
              <w:overflowPunct/>
              <w:topLinePunct w:val="0"/>
              <w:autoSpaceDE/>
              <w:autoSpaceDN/>
              <w:bidi w:val="0"/>
              <w:adjustRightInd/>
              <w:snapToGrid/>
              <w:spacing w:before="0" w:beforeAutospacing="0" w:after="0" w:afterAutospacing="0" w:line="400" w:lineRule="exact"/>
              <w:ind w:left="0" w:leftChars="0" w:firstLine="0" w:firstLineChars="0"/>
              <w:jc w:val="left"/>
              <w:textAlignment w:val="auto"/>
              <w:rPr>
                <w:rFonts w:hint="default"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含税总价为：</w:t>
            </w:r>
            <w:r>
              <w:rPr>
                <w:rFonts w:hint="eastAsia" w:ascii="宋体" w:hAnsi="宋体" w:eastAsia="宋体" w:cs="宋体"/>
                <w:i w:val="0"/>
                <w:color w:val="000000"/>
                <w:kern w:val="0"/>
                <w:sz w:val="24"/>
                <w:szCs w:val="24"/>
                <w:u w:val="single"/>
                <w:lang w:val="en-US" w:eastAsia="zh-CN" w:bidi="ar"/>
              </w:rPr>
              <w:t xml:space="preserve">      </w:t>
            </w:r>
            <w:r>
              <w:rPr>
                <w:rFonts w:hint="default" w:ascii="宋体" w:hAnsi="宋体" w:eastAsia="宋体" w:cs="宋体"/>
                <w:i w:val="0"/>
                <w:color w:val="000000"/>
                <w:kern w:val="0"/>
                <w:sz w:val="24"/>
                <w:szCs w:val="24"/>
                <w:u w:val="none"/>
                <w:lang w:val="en-US" w:eastAsia="zh-CN" w:bidi="ar"/>
              </w:rPr>
              <w:t xml:space="preserve"> 元 人民币（大写）</w:t>
            </w:r>
            <w:r>
              <w:rPr>
                <w:rFonts w:hint="eastAsia" w:ascii="宋体" w:hAnsi="宋体" w:eastAsia="宋体" w:cs="宋体"/>
                <w:i w:val="0"/>
                <w:color w:val="000000"/>
                <w:kern w:val="0"/>
                <w:sz w:val="24"/>
                <w:szCs w:val="24"/>
                <w:u w:val="single"/>
                <w:lang w:val="en-US" w:eastAsia="zh-CN" w:bidi="ar"/>
              </w:rPr>
              <w:t xml:space="preserve">          </w:t>
            </w:r>
            <w:r>
              <w:rPr>
                <w:rFonts w:hint="default" w:ascii="宋体" w:hAnsi="宋体" w:eastAsia="宋体" w:cs="宋体"/>
                <w:i w:val="0"/>
                <w:color w:val="000000"/>
                <w:kern w:val="0"/>
                <w:sz w:val="24"/>
                <w:szCs w:val="24"/>
                <w:u w:val="none"/>
                <w:lang w:val="en-US" w:eastAsia="zh-CN" w:bidi="ar"/>
              </w:rPr>
              <w:t>整，其中，不含税总价：</w:t>
            </w:r>
            <w:r>
              <w:rPr>
                <w:rFonts w:hint="eastAsia" w:ascii="宋体" w:hAnsi="宋体" w:eastAsia="宋体" w:cs="宋体"/>
                <w:i w:val="0"/>
                <w:color w:val="000000"/>
                <w:kern w:val="0"/>
                <w:sz w:val="24"/>
                <w:szCs w:val="24"/>
                <w:u w:val="single"/>
                <w:lang w:val="en-US" w:eastAsia="zh-CN" w:bidi="ar"/>
              </w:rPr>
              <w:t xml:space="preserve">      </w:t>
            </w:r>
            <w:r>
              <w:rPr>
                <w:rFonts w:hint="default" w:ascii="宋体" w:hAnsi="宋体" w:eastAsia="宋体" w:cs="宋体"/>
                <w:i w:val="0"/>
                <w:color w:val="000000"/>
                <w:kern w:val="0"/>
                <w:sz w:val="24"/>
                <w:szCs w:val="24"/>
                <w:u w:val="none"/>
                <w:lang w:val="en-US" w:eastAsia="zh-CN" w:bidi="ar"/>
              </w:rPr>
              <w:t>元 ，增值税税率：</w:t>
            </w:r>
            <w:r>
              <w:rPr>
                <w:rFonts w:hint="eastAsia" w:ascii="宋体" w:hAnsi="宋体" w:eastAsia="宋体" w:cs="宋体"/>
                <w:i w:val="0"/>
                <w:color w:val="000000"/>
                <w:kern w:val="0"/>
                <w:sz w:val="24"/>
                <w:szCs w:val="24"/>
                <w:u w:val="single"/>
                <w:lang w:val="en-US" w:eastAsia="zh-CN" w:bidi="ar"/>
              </w:rPr>
              <w:t xml:space="preserve">   </w:t>
            </w:r>
            <w:r>
              <w:rPr>
                <w:rFonts w:hint="default" w:ascii="宋体" w:hAnsi="宋体" w:eastAsia="宋体" w:cs="宋体"/>
                <w:i w:val="0"/>
                <w:color w:val="000000"/>
                <w:kern w:val="0"/>
                <w:sz w:val="24"/>
                <w:szCs w:val="24"/>
                <w:u w:val="none"/>
                <w:lang w:val="en-US" w:eastAsia="zh-CN" w:bidi="ar"/>
              </w:rPr>
              <w:t xml:space="preserve"> % ，税金：</w:t>
            </w:r>
            <w:r>
              <w:rPr>
                <w:rFonts w:hint="eastAsia" w:ascii="宋体" w:hAnsi="宋体" w:eastAsia="宋体" w:cs="宋体"/>
                <w:i w:val="0"/>
                <w:color w:val="000000"/>
                <w:kern w:val="0"/>
                <w:sz w:val="24"/>
                <w:szCs w:val="24"/>
                <w:u w:val="single"/>
                <w:lang w:val="en-US" w:eastAsia="zh-CN" w:bidi="ar"/>
              </w:rPr>
              <w:t xml:space="preserve">      </w:t>
            </w:r>
            <w:r>
              <w:rPr>
                <w:rFonts w:hint="default" w:ascii="宋体" w:hAnsi="宋体" w:eastAsia="宋体" w:cs="宋体"/>
                <w:i w:val="0"/>
                <w:color w:val="000000"/>
                <w:kern w:val="0"/>
                <w:sz w:val="24"/>
                <w:szCs w:val="24"/>
                <w:u w:val="none"/>
                <w:lang w:val="en-US" w:eastAsia="zh-CN" w:bidi="ar"/>
              </w:rPr>
              <w:t>元。</w:t>
            </w:r>
          </w:p>
        </w:tc>
      </w:tr>
    </w:tbl>
    <w:p>
      <w:pPr>
        <w:spacing w:after="0" w:line="560" w:lineRule="exact"/>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2、供货周期：</w:t>
      </w:r>
      <w:r>
        <w:rPr>
          <w:rFonts w:hint="eastAsia" w:ascii="仿宋" w:hAnsi="仿宋" w:eastAsia="仿宋" w:cs="仿宋"/>
          <w:sz w:val="32"/>
          <w:szCs w:val="32"/>
          <w:lang w:eastAsia="zh-CN"/>
        </w:rPr>
        <w:t>买方下订单后</w:t>
      </w:r>
      <w:r>
        <w:rPr>
          <w:rFonts w:hint="eastAsia" w:ascii="仿宋" w:hAnsi="仿宋" w:eastAsia="仿宋" w:cs="仿宋"/>
          <w:sz w:val="32"/>
          <w:szCs w:val="32"/>
          <w:u w:val="single"/>
          <w:lang w:eastAsia="zh-CN"/>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lang w:eastAsia="zh-CN"/>
        </w:rPr>
        <w:t xml:space="preserve">  </w:t>
      </w:r>
      <w:r>
        <w:rPr>
          <w:rFonts w:hint="eastAsia" w:ascii="仿宋" w:hAnsi="仿宋" w:eastAsia="仿宋" w:cs="仿宋"/>
          <w:sz w:val="32"/>
          <w:szCs w:val="32"/>
          <w:lang w:eastAsia="zh-CN"/>
        </w:rPr>
        <w:t>日内送到交货地点。</w:t>
      </w:r>
    </w:p>
    <w:p>
      <w:pPr>
        <w:keepNext w:val="0"/>
        <w:keepLines w:val="0"/>
        <w:pageBreakBefore w:val="0"/>
        <w:widowControl w:val="0"/>
        <w:kinsoku/>
        <w:wordWrap/>
        <w:overflowPunct/>
        <w:topLinePunct w:val="0"/>
        <w:autoSpaceDE/>
        <w:autoSpaceDN/>
        <w:bidi w:val="0"/>
        <w:adjustRightInd/>
        <w:spacing w:after="0" w:line="560" w:lineRule="atLeast"/>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3、一旦贵单位确定由我方承担本项目的</w:t>
      </w:r>
      <w:r>
        <w:rPr>
          <w:rFonts w:hint="eastAsia" w:ascii="仿宋" w:hAnsi="仿宋" w:eastAsia="仿宋" w:cs="仿宋_GB2312"/>
          <w:sz w:val="32"/>
          <w:szCs w:val="32"/>
          <w:lang w:val="en-US" w:eastAsia="zh-CN"/>
        </w:rPr>
        <w:t>物资</w:t>
      </w:r>
      <w:r>
        <w:rPr>
          <w:rFonts w:hint="eastAsia" w:ascii="仿宋" w:hAnsi="仿宋" w:eastAsia="仿宋" w:cs="仿宋_GB2312"/>
          <w:sz w:val="32"/>
          <w:szCs w:val="32"/>
          <w:lang w:eastAsia="zh-CN"/>
        </w:rPr>
        <w:t>供应，我方承诺将全力保证优质服务。</w:t>
      </w:r>
    </w:p>
    <w:p>
      <w:pPr>
        <w:keepNext w:val="0"/>
        <w:keepLines w:val="0"/>
        <w:pageBreakBefore w:val="0"/>
        <w:widowControl w:val="0"/>
        <w:tabs>
          <w:tab w:val="left" w:pos="5940"/>
        </w:tabs>
        <w:kinsoku/>
        <w:wordWrap/>
        <w:overflowPunct/>
        <w:topLinePunct w:val="0"/>
        <w:autoSpaceDE/>
        <w:autoSpaceDN/>
        <w:bidi w:val="0"/>
        <w:adjustRightInd/>
        <w:spacing w:after="0" w:line="560" w:lineRule="atLeast"/>
        <w:ind w:firstLine="490"/>
        <w:rPr>
          <w:rFonts w:ascii="仿宋" w:hAnsi="仿宋" w:eastAsia="仿宋" w:cs="仿宋"/>
          <w:sz w:val="32"/>
          <w:szCs w:val="32"/>
          <w:lang w:eastAsia="zh-CN"/>
        </w:rPr>
      </w:pPr>
      <w:r>
        <w:rPr>
          <w:rFonts w:hint="eastAsia" w:ascii="仿宋" w:hAnsi="仿宋" w:eastAsia="仿宋"/>
          <w:sz w:val="24"/>
          <w:lang w:eastAsia="zh-CN"/>
        </w:rPr>
        <w:t xml:space="preserve">             </w:t>
      </w:r>
      <w:r>
        <w:rPr>
          <w:rFonts w:hint="eastAsia" w:ascii="仿宋" w:hAnsi="仿宋" w:eastAsia="仿宋" w:cs="仿宋"/>
          <w:sz w:val="32"/>
          <w:szCs w:val="32"/>
          <w:lang w:eastAsia="zh-CN"/>
        </w:rPr>
        <w:t>洽谈单位（盖章）：</w:t>
      </w:r>
    </w:p>
    <w:p>
      <w:pPr>
        <w:keepNext w:val="0"/>
        <w:keepLines w:val="0"/>
        <w:pageBreakBefore w:val="0"/>
        <w:widowControl w:val="0"/>
        <w:tabs>
          <w:tab w:val="left" w:pos="6600"/>
        </w:tabs>
        <w:kinsoku/>
        <w:wordWrap/>
        <w:overflowPunct/>
        <w:topLinePunct w:val="0"/>
        <w:autoSpaceDE/>
        <w:autoSpaceDN/>
        <w:bidi w:val="0"/>
        <w:adjustRightInd/>
        <w:snapToGrid w:val="0"/>
        <w:spacing w:after="0" w:line="560" w:lineRule="atLeast"/>
        <w:ind w:firstLine="1760" w:firstLineChars="550"/>
        <w:jc w:val="both"/>
        <w:textAlignment w:val="bottom"/>
        <w:rPr>
          <w:rFonts w:hint="eastAsia" w:ascii="仿宋" w:hAnsi="仿宋" w:eastAsia="仿宋" w:cs="仿宋"/>
          <w:sz w:val="32"/>
          <w:szCs w:val="32"/>
          <w:lang w:eastAsia="zh-CN"/>
        </w:rPr>
      </w:pPr>
      <w:r>
        <w:rPr>
          <w:rFonts w:hint="eastAsia" w:ascii="仿宋" w:hAnsi="仿宋" w:eastAsia="仿宋" w:cs="仿宋"/>
          <w:sz w:val="32"/>
          <w:szCs w:val="32"/>
          <w:lang w:eastAsia="zh-CN"/>
        </w:rPr>
        <w:t>法定代表人/委托代理人（签字）：</w:t>
      </w:r>
    </w:p>
    <w:p>
      <w:pPr>
        <w:keepNext w:val="0"/>
        <w:keepLines w:val="0"/>
        <w:pageBreakBefore w:val="0"/>
        <w:widowControl w:val="0"/>
        <w:kinsoku/>
        <w:wordWrap/>
        <w:overflowPunct/>
        <w:topLinePunct w:val="0"/>
        <w:autoSpaceDE/>
        <w:autoSpaceDN/>
        <w:bidi w:val="0"/>
        <w:adjustRightInd/>
        <w:spacing w:after="0" w:line="560" w:lineRule="atLeast"/>
        <w:ind w:firstLine="4800" w:firstLineChars="1500"/>
        <w:jc w:val="both"/>
        <w:rPr>
          <w:rFonts w:hint="eastAsia" w:ascii="宋体" w:hAnsi="宋体" w:eastAsia="宋体" w:cs="宋体"/>
          <w:b/>
          <w:bCs/>
          <w:sz w:val="36"/>
          <w:lang w:eastAsia="zh-CN"/>
        </w:rPr>
      </w:pPr>
      <w:r>
        <w:rPr>
          <w:rFonts w:hint="eastAsia" w:ascii="仿宋" w:hAnsi="仿宋" w:eastAsia="仿宋" w:cs="仿宋"/>
          <w:sz w:val="32"/>
          <w:szCs w:val="32"/>
          <w:lang w:eastAsia="zh-CN"/>
        </w:rPr>
        <w:t>日期：</w:t>
      </w:r>
      <w:r>
        <w:rPr>
          <w:rFonts w:ascii="仿宋" w:hAnsi="仿宋" w:eastAsia="仿宋" w:cs="仿宋_GB2312"/>
          <w:sz w:val="32"/>
          <w:szCs w:val="32"/>
          <w:lang w:eastAsia="zh-CN"/>
        </w:rPr>
        <w:br w:type="page"/>
      </w:r>
    </w:p>
    <w:p>
      <w:pPr>
        <w:jc w:val="center"/>
        <w:rPr>
          <w:rFonts w:hint="eastAsia" w:ascii="宋体" w:hAnsi="宋体" w:cs="宋体"/>
          <w:b/>
          <w:bCs/>
          <w:sz w:val="36"/>
          <w:lang w:val="en-US" w:eastAsia="zh-CN"/>
        </w:rPr>
      </w:pPr>
      <w:r>
        <w:rPr>
          <w:rFonts w:hint="eastAsia" w:ascii="宋体" w:hAnsi="宋体" w:cs="宋体"/>
          <w:b/>
          <w:bCs/>
          <w:sz w:val="36"/>
          <w:lang w:val="en-US" w:eastAsia="zh-CN"/>
        </w:rPr>
        <w:t>二、商务、技术偏离表</w:t>
      </w:r>
    </w:p>
    <w:tbl>
      <w:tblPr>
        <w:tblStyle w:val="20"/>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509"/>
        <w:gridCol w:w="2768"/>
        <w:gridCol w:w="1460"/>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058" w:type="dxa"/>
            <w:vAlign w:val="center"/>
          </w:tcPr>
          <w:p>
            <w:pPr>
              <w:widowControl w:val="0"/>
              <w:spacing w:after="0" w:line="240" w:lineRule="auto"/>
              <w:jc w:val="center"/>
              <w:rPr>
                <w:rFonts w:ascii="宋体" w:hAnsi="宋体" w:eastAsia="宋体" w:cs="宋体"/>
                <w:sz w:val="28"/>
                <w:szCs w:val="28"/>
                <w:lang w:eastAsia="zh-CN"/>
              </w:rPr>
            </w:pPr>
            <w:r>
              <w:rPr>
                <w:rFonts w:hint="eastAsia" w:ascii="宋体" w:hAnsi="宋体" w:eastAsia="宋体" w:cs="宋体"/>
                <w:sz w:val="28"/>
                <w:szCs w:val="28"/>
                <w:lang w:eastAsia="zh-CN"/>
              </w:rPr>
              <w:t>序号</w:t>
            </w:r>
          </w:p>
        </w:tc>
        <w:tc>
          <w:tcPr>
            <w:tcW w:w="2509" w:type="dxa"/>
            <w:vAlign w:val="center"/>
          </w:tcPr>
          <w:p>
            <w:pPr>
              <w:widowControl w:val="0"/>
              <w:spacing w:after="0" w:line="240" w:lineRule="auto"/>
              <w:jc w:val="center"/>
              <w:rPr>
                <w:rFonts w:ascii="宋体" w:hAnsi="宋体" w:eastAsia="宋体" w:cs="宋体"/>
                <w:sz w:val="28"/>
                <w:szCs w:val="28"/>
                <w:lang w:eastAsia="zh-CN"/>
              </w:rPr>
            </w:pPr>
            <w:r>
              <w:rPr>
                <w:rFonts w:hint="eastAsia" w:ascii="宋体" w:hAnsi="宋体" w:eastAsia="宋体" w:cs="宋体"/>
                <w:sz w:val="28"/>
                <w:szCs w:val="28"/>
                <w:lang w:eastAsia="zh-CN"/>
              </w:rPr>
              <w:t>谈判文件商务、    技术要求</w:t>
            </w:r>
          </w:p>
        </w:tc>
        <w:tc>
          <w:tcPr>
            <w:tcW w:w="2768" w:type="dxa"/>
            <w:vAlign w:val="center"/>
          </w:tcPr>
          <w:p>
            <w:pPr>
              <w:widowControl w:val="0"/>
              <w:spacing w:after="0" w:line="240" w:lineRule="auto"/>
              <w:jc w:val="center"/>
              <w:rPr>
                <w:rFonts w:ascii="宋体" w:hAnsi="宋体" w:eastAsia="宋体" w:cs="宋体"/>
                <w:sz w:val="28"/>
                <w:szCs w:val="28"/>
                <w:lang w:eastAsia="zh-CN"/>
              </w:rPr>
            </w:pPr>
            <w:r>
              <w:rPr>
                <w:rFonts w:hint="eastAsia" w:ascii="宋体" w:hAnsi="宋体" w:eastAsia="宋体" w:cs="宋体"/>
                <w:sz w:val="28"/>
                <w:szCs w:val="28"/>
                <w:lang w:eastAsia="zh-CN"/>
              </w:rPr>
              <w:t>报价文件商务、    技术响应</w:t>
            </w:r>
          </w:p>
        </w:tc>
        <w:tc>
          <w:tcPr>
            <w:tcW w:w="1460" w:type="dxa"/>
            <w:vAlign w:val="center"/>
          </w:tcPr>
          <w:p>
            <w:pPr>
              <w:widowControl w:val="0"/>
              <w:spacing w:after="0" w:line="240" w:lineRule="auto"/>
              <w:jc w:val="center"/>
              <w:rPr>
                <w:rFonts w:ascii="宋体" w:hAnsi="宋体" w:eastAsia="宋体" w:cs="宋体"/>
                <w:sz w:val="28"/>
                <w:szCs w:val="28"/>
                <w:lang w:eastAsia="zh-CN"/>
              </w:rPr>
            </w:pPr>
            <w:r>
              <w:rPr>
                <w:rFonts w:hint="eastAsia" w:ascii="宋体" w:hAnsi="宋体" w:eastAsia="宋体" w:cs="宋体"/>
                <w:sz w:val="28"/>
                <w:szCs w:val="28"/>
                <w:lang w:eastAsia="zh-CN"/>
              </w:rPr>
              <w:t>偏离   情况</w:t>
            </w:r>
          </w:p>
        </w:tc>
        <w:tc>
          <w:tcPr>
            <w:tcW w:w="1263" w:type="dxa"/>
            <w:vAlign w:val="center"/>
          </w:tcPr>
          <w:p>
            <w:pPr>
              <w:widowControl w:val="0"/>
              <w:spacing w:after="0" w:line="240" w:lineRule="auto"/>
              <w:jc w:val="center"/>
              <w:rPr>
                <w:rFonts w:ascii="宋体" w:hAnsi="宋体" w:eastAsia="宋体" w:cs="宋体"/>
                <w:sz w:val="28"/>
                <w:szCs w:val="28"/>
                <w:lang w:eastAsia="zh-CN"/>
              </w:rPr>
            </w:pPr>
            <w:r>
              <w:rPr>
                <w:rFonts w:hint="eastAsia" w:ascii="宋体" w:hAnsi="宋体" w:eastAsia="宋体" w:cs="宋体"/>
                <w:sz w:val="28"/>
                <w:szCs w:val="28"/>
                <w:lang w:eastAsia="zh-CN"/>
              </w:rPr>
              <w:t>偏离  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058" w:type="dxa"/>
            <w:vAlign w:val="center"/>
          </w:tcPr>
          <w:p>
            <w:pPr>
              <w:widowControl w:val="0"/>
              <w:jc w:val="center"/>
              <w:rPr>
                <w:rFonts w:ascii="宋体" w:hAnsi="宋体" w:eastAsia="宋体" w:cs="宋体"/>
                <w:b/>
                <w:bCs/>
                <w:sz w:val="28"/>
                <w:szCs w:val="28"/>
                <w:lang w:eastAsia="zh-CN"/>
              </w:rPr>
            </w:pPr>
          </w:p>
        </w:tc>
        <w:tc>
          <w:tcPr>
            <w:tcW w:w="2509" w:type="dxa"/>
            <w:vAlign w:val="center"/>
          </w:tcPr>
          <w:p>
            <w:pPr>
              <w:widowControl w:val="0"/>
              <w:jc w:val="center"/>
              <w:rPr>
                <w:rFonts w:ascii="宋体" w:hAnsi="宋体" w:eastAsia="宋体" w:cs="宋体"/>
                <w:b/>
                <w:bCs/>
                <w:sz w:val="28"/>
                <w:szCs w:val="28"/>
                <w:lang w:eastAsia="zh-CN"/>
              </w:rPr>
            </w:pPr>
          </w:p>
        </w:tc>
        <w:tc>
          <w:tcPr>
            <w:tcW w:w="2768" w:type="dxa"/>
            <w:vAlign w:val="center"/>
          </w:tcPr>
          <w:p>
            <w:pPr>
              <w:widowControl w:val="0"/>
              <w:jc w:val="center"/>
              <w:rPr>
                <w:rFonts w:ascii="宋体" w:hAnsi="宋体" w:eastAsia="宋体" w:cs="宋体"/>
                <w:b/>
                <w:bCs/>
                <w:sz w:val="28"/>
                <w:szCs w:val="28"/>
                <w:lang w:eastAsia="zh-CN"/>
              </w:rPr>
            </w:pPr>
          </w:p>
        </w:tc>
        <w:tc>
          <w:tcPr>
            <w:tcW w:w="1460" w:type="dxa"/>
            <w:vAlign w:val="center"/>
          </w:tcPr>
          <w:p>
            <w:pPr>
              <w:widowControl w:val="0"/>
              <w:jc w:val="center"/>
              <w:rPr>
                <w:rFonts w:ascii="宋体" w:hAnsi="宋体" w:eastAsia="宋体" w:cs="宋体"/>
                <w:b/>
                <w:bCs/>
                <w:sz w:val="28"/>
                <w:szCs w:val="28"/>
                <w:lang w:eastAsia="zh-CN"/>
              </w:rPr>
            </w:pPr>
          </w:p>
        </w:tc>
        <w:tc>
          <w:tcPr>
            <w:tcW w:w="1263" w:type="dxa"/>
            <w:vAlign w:val="center"/>
          </w:tcPr>
          <w:p>
            <w:pPr>
              <w:widowControl w:val="0"/>
              <w:jc w:val="center"/>
              <w:rPr>
                <w:rFonts w:ascii="宋体" w:hAnsi="宋体" w:eastAsia="宋体" w:cs="宋体"/>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058" w:type="dxa"/>
            <w:vAlign w:val="center"/>
          </w:tcPr>
          <w:p>
            <w:pPr>
              <w:widowControl w:val="0"/>
              <w:jc w:val="center"/>
              <w:rPr>
                <w:rFonts w:ascii="宋体" w:hAnsi="宋体" w:eastAsia="宋体" w:cs="宋体"/>
                <w:b/>
                <w:bCs/>
                <w:sz w:val="28"/>
                <w:szCs w:val="28"/>
                <w:lang w:eastAsia="zh-CN"/>
              </w:rPr>
            </w:pPr>
          </w:p>
        </w:tc>
        <w:tc>
          <w:tcPr>
            <w:tcW w:w="2509" w:type="dxa"/>
            <w:vAlign w:val="center"/>
          </w:tcPr>
          <w:p>
            <w:pPr>
              <w:widowControl w:val="0"/>
              <w:jc w:val="center"/>
              <w:rPr>
                <w:rFonts w:ascii="宋体" w:hAnsi="宋体" w:eastAsia="宋体" w:cs="宋体"/>
                <w:b/>
                <w:bCs/>
                <w:sz w:val="28"/>
                <w:szCs w:val="28"/>
                <w:lang w:eastAsia="zh-CN"/>
              </w:rPr>
            </w:pPr>
          </w:p>
        </w:tc>
        <w:tc>
          <w:tcPr>
            <w:tcW w:w="2768" w:type="dxa"/>
            <w:vAlign w:val="center"/>
          </w:tcPr>
          <w:p>
            <w:pPr>
              <w:widowControl w:val="0"/>
              <w:jc w:val="center"/>
              <w:rPr>
                <w:rFonts w:ascii="宋体" w:hAnsi="宋体" w:eastAsia="宋体" w:cs="宋体"/>
                <w:b/>
                <w:bCs/>
                <w:sz w:val="28"/>
                <w:szCs w:val="28"/>
                <w:lang w:eastAsia="zh-CN"/>
              </w:rPr>
            </w:pPr>
          </w:p>
        </w:tc>
        <w:tc>
          <w:tcPr>
            <w:tcW w:w="1460" w:type="dxa"/>
            <w:vAlign w:val="center"/>
          </w:tcPr>
          <w:p>
            <w:pPr>
              <w:widowControl w:val="0"/>
              <w:jc w:val="center"/>
              <w:rPr>
                <w:rFonts w:ascii="宋体" w:hAnsi="宋体" w:eastAsia="宋体" w:cs="宋体"/>
                <w:b/>
                <w:bCs/>
                <w:sz w:val="28"/>
                <w:szCs w:val="28"/>
                <w:lang w:eastAsia="zh-CN"/>
              </w:rPr>
            </w:pPr>
          </w:p>
        </w:tc>
        <w:tc>
          <w:tcPr>
            <w:tcW w:w="1263" w:type="dxa"/>
            <w:vAlign w:val="center"/>
          </w:tcPr>
          <w:p>
            <w:pPr>
              <w:widowControl w:val="0"/>
              <w:jc w:val="center"/>
              <w:rPr>
                <w:rFonts w:ascii="宋体" w:hAnsi="宋体" w:eastAsia="宋体" w:cs="宋体"/>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pPr>
              <w:widowControl w:val="0"/>
              <w:jc w:val="center"/>
              <w:rPr>
                <w:rFonts w:ascii="宋体" w:hAnsi="宋体" w:eastAsia="宋体" w:cs="宋体"/>
                <w:b/>
                <w:bCs/>
                <w:sz w:val="28"/>
                <w:szCs w:val="28"/>
                <w:lang w:eastAsia="zh-CN"/>
              </w:rPr>
            </w:pPr>
          </w:p>
        </w:tc>
        <w:tc>
          <w:tcPr>
            <w:tcW w:w="2509" w:type="dxa"/>
            <w:vAlign w:val="center"/>
          </w:tcPr>
          <w:p>
            <w:pPr>
              <w:widowControl w:val="0"/>
              <w:jc w:val="center"/>
              <w:rPr>
                <w:rFonts w:ascii="宋体" w:hAnsi="宋体" w:eastAsia="宋体" w:cs="宋体"/>
                <w:b/>
                <w:bCs/>
                <w:sz w:val="28"/>
                <w:szCs w:val="28"/>
                <w:lang w:eastAsia="zh-CN"/>
              </w:rPr>
            </w:pPr>
          </w:p>
        </w:tc>
        <w:tc>
          <w:tcPr>
            <w:tcW w:w="2768" w:type="dxa"/>
            <w:vAlign w:val="center"/>
          </w:tcPr>
          <w:p>
            <w:pPr>
              <w:widowControl w:val="0"/>
              <w:jc w:val="center"/>
              <w:rPr>
                <w:rFonts w:ascii="宋体" w:hAnsi="宋体" w:eastAsia="宋体" w:cs="宋体"/>
                <w:b/>
                <w:bCs/>
                <w:sz w:val="28"/>
                <w:szCs w:val="28"/>
                <w:lang w:eastAsia="zh-CN"/>
              </w:rPr>
            </w:pPr>
          </w:p>
        </w:tc>
        <w:tc>
          <w:tcPr>
            <w:tcW w:w="1460" w:type="dxa"/>
            <w:vAlign w:val="center"/>
          </w:tcPr>
          <w:p>
            <w:pPr>
              <w:widowControl w:val="0"/>
              <w:jc w:val="center"/>
              <w:rPr>
                <w:rFonts w:ascii="宋体" w:hAnsi="宋体" w:eastAsia="宋体" w:cs="宋体"/>
                <w:b/>
                <w:bCs/>
                <w:sz w:val="28"/>
                <w:szCs w:val="28"/>
                <w:lang w:eastAsia="zh-CN"/>
              </w:rPr>
            </w:pPr>
          </w:p>
        </w:tc>
        <w:tc>
          <w:tcPr>
            <w:tcW w:w="1263" w:type="dxa"/>
            <w:vAlign w:val="center"/>
          </w:tcPr>
          <w:p>
            <w:pPr>
              <w:widowControl w:val="0"/>
              <w:jc w:val="center"/>
              <w:rPr>
                <w:rFonts w:ascii="宋体" w:hAnsi="宋体" w:eastAsia="宋体" w:cs="宋体"/>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pPr>
              <w:widowControl w:val="0"/>
              <w:jc w:val="center"/>
              <w:rPr>
                <w:rFonts w:ascii="宋体" w:hAnsi="宋体" w:eastAsia="宋体" w:cs="宋体"/>
                <w:b/>
                <w:bCs/>
                <w:sz w:val="28"/>
                <w:szCs w:val="28"/>
                <w:lang w:eastAsia="zh-CN"/>
              </w:rPr>
            </w:pPr>
          </w:p>
        </w:tc>
        <w:tc>
          <w:tcPr>
            <w:tcW w:w="2509" w:type="dxa"/>
            <w:vAlign w:val="center"/>
          </w:tcPr>
          <w:p>
            <w:pPr>
              <w:widowControl w:val="0"/>
              <w:jc w:val="center"/>
              <w:rPr>
                <w:rFonts w:ascii="宋体" w:hAnsi="宋体" w:eastAsia="宋体" w:cs="宋体"/>
                <w:b/>
                <w:bCs/>
                <w:sz w:val="28"/>
                <w:szCs w:val="28"/>
                <w:lang w:eastAsia="zh-CN"/>
              </w:rPr>
            </w:pPr>
          </w:p>
        </w:tc>
        <w:tc>
          <w:tcPr>
            <w:tcW w:w="2768" w:type="dxa"/>
            <w:vAlign w:val="center"/>
          </w:tcPr>
          <w:p>
            <w:pPr>
              <w:widowControl w:val="0"/>
              <w:jc w:val="center"/>
              <w:rPr>
                <w:rFonts w:ascii="宋体" w:hAnsi="宋体" w:eastAsia="宋体" w:cs="宋体"/>
                <w:b/>
                <w:bCs/>
                <w:sz w:val="28"/>
                <w:szCs w:val="28"/>
                <w:lang w:eastAsia="zh-CN"/>
              </w:rPr>
            </w:pPr>
          </w:p>
        </w:tc>
        <w:tc>
          <w:tcPr>
            <w:tcW w:w="1460" w:type="dxa"/>
            <w:vAlign w:val="center"/>
          </w:tcPr>
          <w:p>
            <w:pPr>
              <w:widowControl w:val="0"/>
              <w:jc w:val="center"/>
              <w:rPr>
                <w:rFonts w:ascii="宋体" w:hAnsi="宋体" w:eastAsia="宋体" w:cs="宋体"/>
                <w:b/>
                <w:bCs/>
                <w:sz w:val="28"/>
                <w:szCs w:val="28"/>
                <w:lang w:eastAsia="zh-CN"/>
              </w:rPr>
            </w:pPr>
          </w:p>
        </w:tc>
        <w:tc>
          <w:tcPr>
            <w:tcW w:w="1263" w:type="dxa"/>
            <w:vAlign w:val="center"/>
          </w:tcPr>
          <w:p>
            <w:pPr>
              <w:widowControl w:val="0"/>
              <w:jc w:val="center"/>
              <w:rPr>
                <w:rFonts w:ascii="宋体" w:hAnsi="宋体" w:eastAsia="宋体" w:cs="宋体"/>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vAlign w:val="center"/>
          </w:tcPr>
          <w:p>
            <w:pPr>
              <w:widowControl w:val="0"/>
              <w:jc w:val="center"/>
              <w:rPr>
                <w:rFonts w:ascii="宋体" w:hAnsi="宋体" w:eastAsia="宋体" w:cs="宋体"/>
                <w:b/>
                <w:bCs/>
                <w:sz w:val="28"/>
                <w:szCs w:val="28"/>
                <w:lang w:eastAsia="zh-CN"/>
              </w:rPr>
            </w:pPr>
          </w:p>
        </w:tc>
        <w:tc>
          <w:tcPr>
            <w:tcW w:w="2509" w:type="dxa"/>
            <w:vAlign w:val="center"/>
          </w:tcPr>
          <w:p>
            <w:pPr>
              <w:widowControl w:val="0"/>
              <w:jc w:val="center"/>
              <w:rPr>
                <w:rFonts w:ascii="宋体" w:hAnsi="宋体" w:eastAsia="宋体" w:cs="宋体"/>
                <w:b/>
                <w:bCs/>
                <w:sz w:val="28"/>
                <w:szCs w:val="28"/>
                <w:lang w:eastAsia="zh-CN"/>
              </w:rPr>
            </w:pPr>
          </w:p>
        </w:tc>
        <w:tc>
          <w:tcPr>
            <w:tcW w:w="2768" w:type="dxa"/>
            <w:vAlign w:val="center"/>
          </w:tcPr>
          <w:p>
            <w:pPr>
              <w:widowControl w:val="0"/>
              <w:jc w:val="center"/>
              <w:rPr>
                <w:rFonts w:ascii="宋体" w:hAnsi="宋体" w:eastAsia="宋体" w:cs="宋体"/>
                <w:b/>
                <w:bCs/>
                <w:sz w:val="28"/>
                <w:szCs w:val="28"/>
                <w:lang w:eastAsia="zh-CN"/>
              </w:rPr>
            </w:pPr>
          </w:p>
        </w:tc>
        <w:tc>
          <w:tcPr>
            <w:tcW w:w="1460" w:type="dxa"/>
            <w:vAlign w:val="center"/>
          </w:tcPr>
          <w:p>
            <w:pPr>
              <w:widowControl w:val="0"/>
              <w:jc w:val="center"/>
              <w:rPr>
                <w:rFonts w:ascii="宋体" w:hAnsi="宋体" w:eastAsia="宋体" w:cs="宋体"/>
                <w:b/>
                <w:bCs/>
                <w:sz w:val="28"/>
                <w:szCs w:val="28"/>
                <w:lang w:eastAsia="zh-CN"/>
              </w:rPr>
            </w:pPr>
          </w:p>
        </w:tc>
        <w:tc>
          <w:tcPr>
            <w:tcW w:w="1263" w:type="dxa"/>
            <w:vAlign w:val="center"/>
          </w:tcPr>
          <w:p>
            <w:pPr>
              <w:widowControl w:val="0"/>
              <w:jc w:val="center"/>
              <w:rPr>
                <w:rFonts w:ascii="宋体" w:hAnsi="宋体" w:eastAsia="宋体" w:cs="宋体"/>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vAlign w:val="center"/>
          </w:tcPr>
          <w:p>
            <w:pPr>
              <w:widowControl w:val="0"/>
              <w:jc w:val="center"/>
              <w:rPr>
                <w:rFonts w:ascii="宋体" w:hAnsi="宋体" w:eastAsia="宋体" w:cs="宋体"/>
                <w:b/>
                <w:bCs/>
                <w:sz w:val="28"/>
                <w:szCs w:val="28"/>
                <w:lang w:eastAsia="zh-CN"/>
              </w:rPr>
            </w:pPr>
          </w:p>
        </w:tc>
        <w:tc>
          <w:tcPr>
            <w:tcW w:w="2509" w:type="dxa"/>
            <w:vAlign w:val="center"/>
          </w:tcPr>
          <w:p>
            <w:pPr>
              <w:widowControl w:val="0"/>
              <w:jc w:val="center"/>
              <w:rPr>
                <w:rFonts w:ascii="宋体" w:hAnsi="宋体" w:eastAsia="宋体" w:cs="宋体"/>
                <w:b/>
                <w:bCs/>
                <w:sz w:val="28"/>
                <w:szCs w:val="28"/>
                <w:lang w:eastAsia="zh-CN"/>
              </w:rPr>
            </w:pPr>
          </w:p>
        </w:tc>
        <w:tc>
          <w:tcPr>
            <w:tcW w:w="2768" w:type="dxa"/>
            <w:vAlign w:val="center"/>
          </w:tcPr>
          <w:p>
            <w:pPr>
              <w:widowControl w:val="0"/>
              <w:jc w:val="center"/>
              <w:rPr>
                <w:rFonts w:ascii="宋体" w:hAnsi="宋体" w:eastAsia="宋体" w:cs="宋体"/>
                <w:b/>
                <w:bCs/>
                <w:sz w:val="28"/>
                <w:szCs w:val="28"/>
                <w:lang w:eastAsia="zh-CN"/>
              </w:rPr>
            </w:pPr>
          </w:p>
        </w:tc>
        <w:tc>
          <w:tcPr>
            <w:tcW w:w="1460" w:type="dxa"/>
            <w:vAlign w:val="center"/>
          </w:tcPr>
          <w:p>
            <w:pPr>
              <w:widowControl w:val="0"/>
              <w:jc w:val="center"/>
              <w:rPr>
                <w:rFonts w:ascii="宋体" w:hAnsi="宋体" w:eastAsia="宋体" w:cs="宋体"/>
                <w:b/>
                <w:bCs/>
                <w:sz w:val="28"/>
                <w:szCs w:val="28"/>
                <w:lang w:eastAsia="zh-CN"/>
              </w:rPr>
            </w:pPr>
          </w:p>
        </w:tc>
        <w:tc>
          <w:tcPr>
            <w:tcW w:w="1263" w:type="dxa"/>
            <w:vAlign w:val="center"/>
          </w:tcPr>
          <w:p>
            <w:pPr>
              <w:widowControl w:val="0"/>
              <w:jc w:val="center"/>
              <w:rPr>
                <w:rFonts w:ascii="宋体" w:hAnsi="宋体" w:eastAsia="宋体" w:cs="宋体"/>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058" w:type="dxa"/>
            <w:vAlign w:val="center"/>
          </w:tcPr>
          <w:p>
            <w:pPr>
              <w:widowControl w:val="0"/>
              <w:jc w:val="center"/>
              <w:rPr>
                <w:rFonts w:ascii="宋体" w:hAnsi="宋体" w:eastAsia="宋体" w:cs="宋体"/>
                <w:b/>
                <w:bCs/>
                <w:sz w:val="28"/>
                <w:szCs w:val="28"/>
                <w:lang w:eastAsia="zh-CN"/>
              </w:rPr>
            </w:pPr>
          </w:p>
        </w:tc>
        <w:tc>
          <w:tcPr>
            <w:tcW w:w="2509" w:type="dxa"/>
            <w:vAlign w:val="center"/>
          </w:tcPr>
          <w:p>
            <w:pPr>
              <w:widowControl w:val="0"/>
              <w:jc w:val="center"/>
              <w:rPr>
                <w:rFonts w:ascii="宋体" w:hAnsi="宋体" w:eastAsia="宋体" w:cs="宋体"/>
                <w:b/>
                <w:bCs/>
                <w:sz w:val="28"/>
                <w:szCs w:val="28"/>
                <w:lang w:eastAsia="zh-CN"/>
              </w:rPr>
            </w:pPr>
          </w:p>
        </w:tc>
        <w:tc>
          <w:tcPr>
            <w:tcW w:w="2768" w:type="dxa"/>
            <w:vAlign w:val="center"/>
          </w:tcPr>
          <w:p>
            <w:pPr>
              <w:widowControl w:val="0"/>
              <w:jc w:val="center"/>
              <w:rPr>
                <w:rFonts w:ascii="宋体" w:hAnsi="宋体" w:eastAsia="宋体" w:cs="宋体"/>
                <w:b/>
                <w:bCs/>
                <w:sz w:val="28"/>
                <w:szCs w:val="28"/>
                <w:lang w:eastAsia="zh-CN"/>
              </w:rPr>
            </w:pPr>
          </w:p>
        </w:tc>
        <w:tc>
          <w:tcPr>
            <w:tcW w:w="1460" w:type="dxa"/>
            <w:vAlign w:val="center"/>
          </w:tcPr>
          <w:p>
            <w:pPr>
              <w:widowControl w:val="0"/>
              <w:jc w:val="center"/>
              <w:rPr>
                <w:rFonts w:ascii="宋体" w:hAnsi="宋体" w:eastAsia="宋体" w:cs="宋体"/>
                <w:b/>
                <w:bCs/>
                <w:sz w:val="28"/>
                <w:szCs w:val="28"/>
                <w:lang w:eastAsia="zh-CN"/>
              </w:rPr>
            </w:pPr>
          </w:p>
        </w:tc>
        <w:tc>
          <w:tcPr>
            <w:tcW w:w="1263" w:type="dxa"/>
            <w:vAlign w:val="center"/>
          </w:tcPr>
          <w:p>
            <w:pPr>
              <w:widowControl w:val="0"/>
              <w:jc w:val="center"/>
              <w:rPr>
                <w:rFonts w:ascii="宋体" w:hAnsi="宋体" w:eastAsia="宋体" w:cs="宋体"/>
                <w:b/>
                <w:bCs/>
                <w:sz w:val="28"/>
                <w:szCs w:val="28"/>
                <w:lang w:eastAsia="zh-CN"/>
              </w:rPr>
            </w:pPr>
          </w:p>
        </w:tc>
      </w:tr>
    </w:tbl>
    <w:p>
      <w:pPr>
        <w:rPr>
          <w:rFonts w:ascii="宋体" w:hAnsi="宋体" w:eastAsia="宋体" w:cs="宋体"/>
          <w:b/>
          <w:bCs/>
          <w:sz w:val="36"/>
          <w:szCs w:val="36"/>
          <w:lang w:eastAsia="zh-CN"/>
        </w:rPr>
      </w:pPr>
    </w:p>
    <w:p>
      <w:pPr>
        <w:pStyle w:val="48"/>
        <w:snapToGrid w:val="0"/>
        <w:spacing w:after="0" w:line="360" w:lineRule="auto"/>
        <w:ind w:firstLine="560" w:firstLineChars="200"/>
        <w:jc w:val="both"/>
        <w:rPr>
          <w:rFonts w:ascii="宋体" w:hAnsi="宋体" w:eastAsia="宋体" w:cs="宋体"/>
          <w:kern w:val="2"/>
          <w:sz w:val="28"/>
          <w:szCs w:val="28"/>
        </w:rPr>
      </w:pPr>
    </w:p>
    <w:p>
      <w:pPr>
        <w:tabs>
          <w:tab w:val="left" w:pos="6600"/>
        </w:tabs>
        <w:snapToGrid w:val="0"/>
        <w:spacing w:after="0" w:line="360" w:lineRule="auto"/>
        <w:ind w:firstLine="3360" w:firstLineChars="1200"/>
        <w:jc w:val="both"/>
        <w:textAlignment w:val="bottom"/>
        <w:rPr>
          <w:rFonts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（盖章）</w:t>
      </w:r>
      <w:r>
        <w:rPr>
          <w:rFonts w:hint="eastAsia" w:ascii="宋体" w:hAnsi="宋体" w:eastAsia="宋体" w:cs="宋体"/>
          <w:sz w:val="28"/>
          <w:szCs w:val="28"/>
          <w:lang w:eastAsia="zh-CN"/>
        </w:rPr>
        <w:t>：</w:t>
      </w:r>
    </w:p>
    <w:p>
      <w:pPr>
        <w:tabs>
          <w:tab w:val="left" w:pos="6600"/>
        </w:tabs>
        <w:snapToGrid w:val="0"/>
        <w:spacing w:after="0" w:line="360" w:lineRule="auto"/>
        <w:ind w:firstLine="840" w:firstLineChars="300"/>
        <w:jc w:val="both"/>
        <w:textAlignment w:val="bottom"/>
        <w:rPr>
          <w:rFonts w:ascii="宋体" w:hAnsi="宋体" w:eastAsia="宋体" w:cs="宋体"/>
          <w:sz w:val="28"/>
          <w:szCs w:val="28"/>
          <w:lang w:eastAsia="zh-CN"/>
        </w:rPr>
      </w:pPr>
      <w:r>
        <w:rPr>
          <w:rFonts w:hint="eastAsia" w:ascii="宋体" w:hAnsi="宋体" w:eastAsia="宋体" w:cs="宋体"/>
          <w:sz w:val="28"/>
          <w:szCs w:val="28"/>
          <w:lang w:eastAsia="zh-CN"/>
        </w:rPr>
        <w:t>法定代表人/委托代理人（签字或盖章）：</w:t>
      </w:r>
    </w:p>
    <w:p>
      <w:pPr>
        <w:tabs>
          <w:tab w:val="left" w:pos="6600"/>
        </w:tabs>
        <w:snapToGrid w:val="0"/>
        <w:spacing w:after="0" w:line="360" w:lineRule="auto"/>
        <w:ind w:firstLine="5880" w:firstLineChars="2100"/>
        <w:jc w:val="both"/>
        <w:textAlignment w:val="bottom"/>
        <w:rPr>
          <w:rFonts w:ascii="宋体" w:hAnsi="宋体" w:eastAsia="宋体" w:cs="宋体"/>
          <w:kern w:val="2"/>
          <w:sz w:val="24"/>
          <w:szCs w:val="24"/>
          <w:lang w:eastAsia="zh-CN"/>
        </w:rPr>
        <w:sectPr>
          <w:pgSz w:w="11906" w:h="16838"/>
          <w:pgMar w:top="2098" w:right="1474" w:bottom="1928" w:left="1587" w:header="851" w:footer="992" w:gutter="0"/>
          <w:pgNumType w:fmt="numberInDash" w:start="1"/>
          <w:cols w:space="720" w:num="1"/>
          <w:docGrid w:type="lines" w:linePitch="312" w:charSpace="0"/>
        </w:sectPr>
      </w:pP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年</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月</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日</w:t>
      </w:r>
    </w:p>
    <w:p>
      <w:pPr>
        <w:spacing w:after="0" w:line="240" w:lineRule="auto"/>
        <w:ind w:firstLine="723" w:firstLineChars="200"/>
        <w:jc w:val="center"/>
        <w:rPr>
          <w:rFonts w:ascii="宋体" w:hAnsi="宋体" w:eastAsia="宋体" w:cs="宋体"/>
          <w:b/>
          <w:bCs/>
          <w:sz w:val="36"/>
          <w:lang w:eastAsia="zh-CN"/>
        </w:rPr>
      </w:pPr>
      <w:r>
        <w:rPr>
          <w:rFonts w:hint="eastAsia" w:ascii="宋体" w:hAnsi="宋体" w:cs="宋体"/>
          <w:b/>
          <w:bCs/>
          <w:sz w:val="36"/>
          <w:lang w:val="en-US" w:eastAsia="zh-CN"/>
        </w:rPr>
        <w:t>三</w:t>
      </w:r>
      <w:r>
        <w:rPr>
          <w:rFonts w:hint="eastAsia" w:ascii="宋体" w:hAnsi="宋体" w:eastAsia="宋体" w:cs="宋体"/>
          <w:b/>
          <w:bCs/>
          <w:sz w:val="36"/>
          <w:lang w:eastAsia="zh-CN"/>
        </w:rPr>
        <w:t>、法定代表人授权委托书</w:t>
      </w:r>
    </w:p>
    <w:p>
      <w:pPr>
        <w:topLinePunct/>
        <w:spacing w:after="0" w:line="240" w:lineRule="auto"/>
        <w:ind w:firstLine="640" w:firstLineChars="200"/>
        <w:rPr>
          <w:rFonts w:ascii="宋体" w:hAnsi="宋体" w:eastAsia="宋体" w:cs="宋体"/>
          <w:sz w:val="32"/>
          <w:szCs w:val="32"/>
          <w:lang w:eastAsia="zh-CN"/>
        </w:rPr>
      </w:pPr>
    </w:p>
    <w:p>
      <w:pPr>
        <w:topLinePunct/>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本人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（姓名）系</w:t>
      </w:r>
      <w:r>
        <w:rPr>
          <w:rFonts w:hint="eastAsia" w:ascii="宋体" w:hAnsi="宋体" w:eastAsia="宋体" w:cs="宋体"/>
          <w:sz w:val="28"/>
          <w:szCs w:val="28"/>
          <w:u w:val="single"/>
          <w:lang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lang w:eastAsia="zh-CN"/>
        </w:rPr>
        <w:t>（洽谈单位名称）的法定代表人，现委托</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（姓名）为我方代理人。代理人根据授权，以我方名义签署、澄清、说明、补正、递交、撤回、修改</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lang w:val="en-US" w:eastAsia="zh-CN"/>
        </w:rPr>
        <w:t>咸阳市热力公司利用热电联产热网新建及改建项目二期工程</w:t>
      </w:r>
      <w:r>
        <w:rPr>
          <w:rFonts w:hint="eastAsia" w:ascii="宋体" w:hAnsi="宋体" w:cs="宋体"/>
          <w:sz w:val="28"/>
          <w:szCs w:val="28"/>
          <w:u w:val="single"/>
          <w:lang w:val="en-US" w:eastAsia="zh-CN"/>
        </w:rPr>
        <w:t>补偿器</w:t>
      </w:r>
      <w:r>
        <w:rPr>
          <w:rFonts w:hint="eastAsia" w:ascii="宋体" w:hAnsi="宋体" w:eastAsia="宋体" w:cs="宋体"/>
          <w:sz w:val="28"/>
          <w:szCs w:val="28"/>
          <w:u w:val="single"/>
          <w:lang w:val="en-US" w:eastAsia="zh-CN"/>
        </w:rPr>
        <w:t>采购</w:t>
      </w:r>
      <w:r>
        <w:rPr>
          <w:rFonts w:hint="eastAsia" w:ascii="宋体" w:hAnsi="宋体" w:cs="宋体"/>
          <w:sz w:val="28"/>
          <w:szCs w:val="28"/>
          <w:u w:val="single"/>
          <w:lang w:val="en-US" w:eastAsia="zh-CN"/>
        </w:rPr>
        <w:t xml:space="preserve">  </w:t>
      </w:r>
      <w:r>
        <w:rPr>
          <w:rFonts w:hint="eastAsia" w:ascii="宋体" w:hAnsi="宋体" w:eastAsia="宋体" w:cs="宋体"/>
          <w:sz w:val="28"/>
          <w:szCs w:val="28"/>
          <w:lang w:eastAsia="zh-CN"/>
        </w:rPr>
        <w:t>洽谈报价、签订合同和处理有关事宜，其法律后果由我方承担。</w:t>
      </w: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 xml:space="preserve"> 委托期限：</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w:t>
      </w: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代理人无转委托权。</w:t>
      </w: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附：法定代表人及代理人身份证明</w:t>
      </w:r>
    </w:p>
    <w:p>
      <w:pPr>
        <w:widowControl w:val="0"/>
        <w:spacing w:after="0" w:line="24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洽谈单位：</w:t>
      </w:r>
      <w:r>
        <w:rPr>
          <w:rFonts w:hint="eastAsia" w:ascii="宋体" w:hAnsi="宋体" w:cs="宋体"/>
          <w:sz w:val="28"/>
          <w:szCs w:val="28"/>
          <w:u w:val="single"/>
          <w:lang w:val="en-US" w:eastAsia="zh-CN"/>
        </w:rPr>
        <w:t xml:space="preserve">                              </w:t>
      </w:r>
      <w:r>
        <w:rPr>
          <w:rFonts w:hint="eastAsia" w:ascii="宋体" w:hAnsi="宋体" w:eastAsia="宋体" w:cs="宋体"/>
          <w:sz w:val="28"/>
          <w:szCs w:val="28"/>
          <w:lang w:eastAsia="zh-CN"/>
        </w:rPr>
        <w:t>（盖章）</w:t>
      </w:r>
    </w:p>
    <w:p>
      <w:pPr>
        <w:widowControl w:val="0"/>
        <w:spacing w:after="0" w:line="24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法定代表人：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（签字或盖章）</w:t>
      </w:r>
    </w:p>
    <w:p>
      <w:pPr>
        <w:widowControl w:val="0"/>
        <w:spacing w:after="0" w:line="24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身份证号码：</w:t>
      </w:r>
      <w:r>
        <w:rPr>
          <w:rFonts w:hint="eastAsia" w:ascii="宋体" w:hAnsi="宋体" w:eastAsia="宋体" w:cs="宋体"/>
          <w:sz w:val="28"/>
          <w:szCs w:val="28"/>
          <w:u w:val="single"/>
          <w:lang w:eastAsia="zh-CN"/>
        </w:rPr>
        <w:t xml:space="preserve">                           </w:t>
      </w:r>
    </w:p>
    <w:p>
      <w:pPr>
        <w:widowControl w:val="0"/>
        <w:spacing w:after="0" w:line="24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委托代理人：</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 xml:space="preserve">（签字或盖章） </w:t>
      </w:r>
    </w:p>
    <w:p>
      <w:pPr>
        <w:widowControl w:val="0"/>
        <w:spacing w:after="0" w:line="24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身份证号码：</w:t>
      </w:r>
      <w:r>
        <w:rPr>
          <w:rFonts w:hint="eastAsia" w:ascii="宋体" w:hAnsi="宋体" w:eastAsia="宋体" w:cs="宋体"/>
          <w:sz w:val="28"/>
          <w:szCs w:val="28"/>
          <w:u w:val="single"/>
          <w:lang w:eastAsia="zh-CN"/>
        </w:rPr>
        <w:t xml:space="preserve">                           </w:t>
      </w: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 xml:space="preserve">                  </w:t>
      </w:r>
    </w:p>
    <w:p>
      <w:pPr>
        <w:spacing w:after="0" w:line="240" w:lineRule="auto"/>
        <w:ind w:firstLine="3640" w:firstLineChars="130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年</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月</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日</w:t>
      </w:r>
    </w:p>
    <w:p>
      <w:pPr>
        <w:spacing w:after="0" w:line="240" w:lineRule="auto"/>
        <w:ind w:firstLine="3640" w:firstLineChars="1300"/>
        <w:rPr>
          <w:rFonts w:hint="eastAsia" w:ascii="宋体" w:hAnsi="宋体" w:eastAsia="宋体" w:cs="宋体"/>
          <w:sz w:val="28"/>
          <w:szCs w:val="28"/>
          <w:lang w:eastAsia="zh-CN"/>
        </w:rPr>
      </w:pPr>
    </w:p>
    <w:p>
      <w:pPr>
        <w:spacing w:after="0" w:line="240" w:lineRule="auto"/>
        <w:ind w:firstLine="3640" w:firstLineChars="1300"/>
        <w:rPr>
          <w:rFonts w:hint="eastAsia" w:ascii="宋体" w:hAnsi="宋体" w:eastAsia="宋体" w:cs="宋体"/>
          <w:sz w:val="28"/>
          <w:szCs w:val="28"/>
          <w:lang w:eastAsia="zh-CN"/>
        </w:rPr>
      </w:pPr>
    </w:p>
    <w:p>
      <w:pPr>
        <w:spacing w:after="0" w:line="240" w:lineRule="auto"/>
        <w:rPr>
          <w:rFonts w:hint="eastAsia" w:ascii="宋体" w:hAnsi="宋体" w:eastAsia="宋体" w:cs="宋体"/>
          <w:sz w:val="28"/>
          <w:szCs w:val="28"/>
          <w:lang w:eastAsia="zh-CN"/>
        </w:rPr>
      </w:pPr>
    </w:p>
    <w:p>
      <w:pPr>
        <w:spacing w:after="0" w:line="240"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t>附件：法定代表人身份证明</w:t>
      </w:r>
    </w:p>
    <w:p>
      <w:pPr>
        <w:spacing w:after="0" w:line="240" w:lineRule="auto"/>
        <w:rPr>
          <w:rFonts w:ascii="宋体" w:hAnsi="宋体" w:eastAsia="宋体" w:cs="宋体"/>
          <w:sz w:val="28"/>
          <w:szCs w:val="28"/>
          <w:lang w:eastAsia="zh-CN"/>
        </w:rPr>
      </w:pPr>
    </w:p>
    <w:p>
      <w:pPr>
        <w:spacing w:after="0" w:line="240" w:lineRule="auto"/>
        <w:ind w:firstLine="480" w:firstLineChars="200"/>
        <w:jc w:val="both"/>
        <w:rPr>
          <w:rFonts w:ascii="宋体" w:hAnsi="宋体" w:eastAsia="宋体" w:cs="宋体"/>
          <w:sz w:val="24"/>
          <w:szCs w:val="24"/>
          <w:lang w:eastAsia="zh-CN"/>
        </w:rPr>
      </w:pPr>
    </w:p>
    <w:p>
      <w:pPr>
        <w:pStyle w:val="10"/>
        <w:rPr>
          <w:rFonts w:ascii="宋体" w:hAnsi="宋体" w:eastAsia="宋体" w:cs="宋体"/>
          <w:sz w:val="24"/>
          <w:szCs w:val="24"/>
          <w:lang w:eastAsia="zh-CN"/>
        </w:rPr>
      </w:pPr>
    </w:p>
    <w:p>
      <w:pPr>
        <w:rPr>
          <w:rFonts w:ascii="宋体" w:hAnsi="宋体" w:eastAsia="宋体" w:cs="宋体"/>
          <w:sz w:val="24"/>
          <w:szCs w:val="24"/>
          <w:lang w:eastAsia="zh-CN"/>
        </w:rPr>
      </w:pPr>
    </w:p>
    <w:p>
      <w:pPr>
        <w:pStyle w:val="10"/>
        <w:rPr>
          <w:rFonts w:ascii="宋体" w:hAnsi="宋体" w:eastAsia="宋体" w:cs="宋体"/>
          <w:sz w:val="24"/>
          <w:szCs w:val="24"/>
          <w:lang w:eastAsia="zh-CN"/>
        </w:rPr>
      </w:pPr>
    </w:p>
    <w:p>
      <w:pPr>
        <w:rPr>
          <w:rFonts w:ascii="宋体" w:hAnsi="宋体" w:eastAsia="宋体" w:cs="宋体"/>
          <w:sz w:val="24"/>
          <w:szCs w:val="24"/>
          <w:lang w:eastAsia="zh-CN"/>
        </w:rPr>
      </w:pPr>
    </w:p>
    <w:p>
      <w:pPr>
        <w:pStyle w:val="2"/>
        <w:rPr>
          <w:rFonts w:ascii="宋体" w:hAnsi="宋体" w:eastAsia="宋体" w:cs="宋体"/>
          <w:sz w:val="24"/>
          <w:szCs w:val="24"/>
          <w:lang w:eastAsia="zh-CN"/>
        </w:rPr>
      </w:pPr>
    </w:p>
    <w:p>
      <w:pPr>
        <w:pStyle w:val="2"/>
        <w:rPr>
          <w:rFonts w:ascii="宋体" w:hAnsi="宋体" w:eastAsia="宋体" w:cs="宋体"/>
          <w:sz w:val="24"/>
          <w:szCs w:val="24"/>
          <w:lang w:eastAsia="zh-CN"/>
        </w:rPr>
      </w:pPr>
    </w:p>
    <w:p>
      <w:pPr>
        <w:pStyle w:val="2"/>
        <w:rPr>
          <w:rFonts w:ascii="宋体" w:hAnsi="宋体" w:eastAsia="宋体" w:cs="宋体"/>
          <w:sz w:val="24"/>
          <w:szCs w:val="24"/>
          <w:lang w:eastAsia="zh-CN"/>
        </w:rPr>
      </w:pPr>
    </w:p>
    <w:p>
      <w:pPr>
        <w:pStyle w:val="10"/>
        <w:rPr>
          <w:rFonts w:ascii="宋体" w:hAnsi="宋体" w:eastAsia="宋体" w:cs="宋体"/>
          <w:sz w:val="24"/>
          <w:szCs w:val="24"/>
          <w:lang w:eastAsia="zh-CN"/>
        </w:rPr>
      </w:pPr>
    </w:p>
    <w:p>
      <w:pPr>
        <w:rPr>
          <w:lang w:eastAsia="zh-CN"/>
        </w:rPr>
      </w:pPr>
    </w:p>
    <w:p>
      <w:pPr>
        <w:spacing w:after="0" w:line="240" w:lineRule="auto"/>
        <w:ind w:firstLine="560" w:firstLineChars="200"/>
        <w:jc w:val="both"/>
        <w:rPr>
          <w:rFonts w:ascii="宋体" w:hAnsi="宋体" w:eastAsia="宋体" w:cs="宋体"/>
          <w:sz w:val="24"/>
          <w:szCs w:val="24"/>
          <w:lang w:eastAsia="zh-CN"/>
        </w:rPr>
      </w:pPr>
      <w:r>
        <w:rPr>
          <w:rFonts w:hint="eastAsia" w:ascii="宋体" w:hAnsi="宋体" w:eastAsia="宋体" w:cs="宋体"/>
          <w:sz w:val="28"/>
          <w:szCs w:val="28"/>
          <w:lang w:eastAsia="zh-CN"/>
        </w:rPr>
        <w:t>代理人身份证明</w:t>
      </w:r>
    </w:p>
    <w:p>
      <w:pPr>
        <w:spacing w:after="0" w:line="240" w:lineRule="auto"/>
        <w:ind w:firstLine="480" w:firstLineChars="200"/>
        <w:jc w:val="both"/>
        <w:rPr>
          <w:rFonts w:ascii="宋体" w:hAnsi="宋体" w:eastAsia="宋体" w:cs="宋体"/>
          <w:sz w:val="24"/>
          <w:szCs w:val="24"/>
          <w:lang w:eastAsia="zh-CN"/>
        </w:rPr>
      </w:pPr>
    </w:p>
    <w:p>
      <w:pPr>
        <w:spacing w:after="0" w:line="240" w:lineRule="auto"/>
        <w:ind w:firstLine="480" w:firstLineChars="200"/>
        <w:jc w:val="both"/>
        <w:rPr>
          <w:rFonts w:ascii="宋体" w:hAnsi="宋体" w:eastAsia="宋体" w:cs="宋体"/>
          <w:sz w:val="24"/>
          <w:szCs w:val="24"/>
          <w:lang w:eastAsia="zh-CN"/>
        </w:rPr>
      </w:pPr>
    </w:p>
    <w:p>
      <w:pPr>
        <w:pStyle w:val="2"/>
        <w:ind w:firstLine="440"/>
        <w:rPr>
          <w:rFonts w:ascii="宋体" w:hAnsi="宋体" w:eastAsia="宋体" w:cs="宋体"/>
          <w:lang w:eastAsia="zh-CN"/>
        </w:rPr>
      </w:pPr>
    </w:p>
    <w:p>
      <w:pPr>
        <w:pStyle w:val="2"/>
        <w:ind w:firstLine="440"/>
        <w:rPr>
          <w:rFonts w:ascii="宋体" w:hAnsi="宋体" w:eastAsia="宋体" w:cs="宋体"/>
          <w:lang w:eastAsia="zh-CN"/>
        </w:rPr>
      </w:pPr>
    </w:p>
    <w:p>
      <w:pPr>
        <w:spacing w:after="0" w:line="240" w:lineRule="auto"/>
        <w:ind w:firstLine="480" w:firstLineChars="200"/>
        <w:jc w:val="both"/>
        <w:rPr>
          <w:rFonts w:ascii="宋体" w:hAnsi="宋体" w:eastAsia="宋体" w:cs="宋体"/>
          <w:sz w:val="24"/>
          <w:szCs w:val="24"/>
          <w:lang w:eastAsia="zh-CN"/>
        </w:rPr>
      </w:pPr>
    </w:p>
    <w:p>
      <w:pPr>
        <w:pStyle w:val="2"/>
        <w:ind w:firstLine="0" w:firstLineChars="0"/>
        <w:jc w:val="center"/>
        <w:rPr>
          <w:rFonts w:ascii="宋体" w:hAnsi="宋体" w:eastAsia="宋体" w:cs="宋体"/>
          <w:b/>
          <w:bCs/>
          <w:sz w:val="36"/>
          <w:szCs w:val="36"/>
          <w:lang w:eastAsia="zh-CN"/>
        </w:rPr>
      </w:pPr>
    </w:p>
    <w:p>
      <w:pPr>
        <w:pStyle w:val="2"/>
        <w:ind w:firstLine="0" w:firstLineChars="0"/>
        <w:jc w:val="center"/>
        <w:rPr>
          <w:rFonts w:ascii="宋体" w:hAnsi="宋体" w:eastAsia="宋体" w:cs="宋体"/>
          <w:b/>
          <w:bCs/>
          <w:sz w:val="36"/>
          <w:szCs w:val="36"/>
          <w:lang w:eastAsia="zh-CN"/>
        </w:rPr>
      </w:pPr>
    </w:p>
    <w:p>
      <w:pPr>
        <w:pStyle w:val="2"/>
        <w:ind w:firstLine="0" w:firstLineChars="0"/>
        <w:jc w:val="center"/>
        <w:rPr>
          <w:rFonts w:ascii="宋体" w:hAnsi="宋体" w:eastAsia="宋体" w:cs="宋体"/>
          <w:b/>
          <w:bCs/>
          <w:sz w:val="36"/>
          <w:szCs w:val="36"/>
          <w:lang w:eastAsia="zh-CN"/>
        </w:rPr>
      </w:pPr>
    </w:p>
    <w:p>
      <w:pPr>
        <w:pStyle w:val="2"/>
        <w:ind w:firstLine="0" w:firstLineChars="0"/>
        <w:jc w:val="center"/>
        <w:rPr>
          <w:rFonts w:ascii="宋体" w:hAnsi="宋体" w:eastAsia="宋体" w:cs="宋体"/>
          <w:b/>
          <w:bCs/>
          <w:sz w:val="36"/>
          <w:szCs w:val="36"/>
          <w:lang w:eastAsia="zh-CN"/>
        </w:rPr>
      </w:pPr>
    </w:p>
    <w:p>
      <w:pPr>
        <w:pStyle w:val="2"/>
        <w:numPr>
          <w:ilvl w:val="0"/>
          <w:numId w:val="0"/>
        </w:numPr>
        <w:jc w:val="center"/>
        <w:rPr>
          <w:rFonts w:ascii="宋体" w:hAnsi="宋体" w:eastAsia="宋体" w:cs="宋体"/>
          <w:b/>
          <w:bCs/>
          <w:sz w:val="36"/>
          <w:szCs w:val="36"/>
          <w:lang w:eastAsia="zh-CN"/>
        </w:rPr>
      </w:pPr>
      <w:r>
        <w:rPr>
          <w:rFonts w:hint="eastAsia" w:cs="宋体"/>
          <w:b/>
          <w:bCs/>
          <w:sz w:val="36"/>
          <w:szCs w:val="36"/>
          <w:lang w:val="en-US" w:eastAsia="zh-CN"/>
        </w:rPr>
        <w:t>四</w:t>
      </w:r>
      <w:r>
        <w:rPr>
          <w:rFonts w:hint="eastAsia" w:ascii="宋体" w:hAnsi="宋体" w:cs="宋体"/>
          <w:b/>
          <w:bCs/>
          <w:sz w:val="36"/>
          <w:szCs w:val="36"/>
          <w:lang w:val="en-US" w:eastAsia="zh-CN"/>
        </w:rPr>
        <w:t>、</w:t>
      </w:r>
      <w:r>
        <w:rPr>
          <w:rFonts w:ascii="宋体" w:hAnsi="宋体" w:eastAsia="宋体" w:cs="宋体"/>
          <w:b/>
          <w:bCs/>
          <w:sz w:val="36"/>
          <w:szCs w:val="36"/>
          <w:lang w:eastAsia="zh-CN"/>
        </w:rPr>
        <w:t>营业执照、开户许可证</w:t>
      </w:r>
    </w:p>
    <w:p>
      <w:pPr>
        <w:pStyle w:val="2"/>
        <w:numPr>
          <w:ilvl w:val="0"/>
          <w:numId w:val="0"/>
        </w:numPr>
        <w:ind w:leftChars="200"/>
        <w:jc w:val="center"/>
        <w:rPr>
          <w:rFonts w:ascii="宋体" w:hAnsi="宋体" w:eastAsia="宋体" w:cs="宋体"/>
          <w:sz w:val="32"/>
          <w:szCs w:val="32"/>
          <w:lang w:eastAsia="zh-CN"/>
        </w:rPr>
        <w:sectPr>
          <w:headerReference r:id="rId4" w:type="default"/>
          <w:footerReference r:id="rId5" w:type="default"/>
          <w:pgSz w:w="11906" w:h="16838"/>
          <w:pgMar w:top="2098" w:right="1474" w:bottom="1928" w:left="1587" w:header="851" w:footer="992" w:gutter="0"/>
          <w:cols w:space="720" w:num="1"/>
          <w:docGrid w:type="lines" w:linePitch="312" w:charSpace="0"/>
        </w:sectPr>
      </w:pPr>
    </w:p>
    <w:p>
      <w:pPr>
        <w:pStyle w:val="49"/>
        <w:numPr>
          <w:ilvl w:val="0"/>
          <w:numId w:val="0"/>
        </w:numPr>
        <w:spacing w:after="0" w:line="240" w:lineRule="auto"/>
        <w:jc w:val="center"/>
        <w:rPr>
          <w:rFonts w:hint="default" w:ascii="宋体" w:hAnsi="宋体" w:cs="宋体"/>
          <w:b/>
          <w:bCs/>
          <w:kern w:val="2"/>
          <w:sz w:val="36"/>
          <w:szCs w:val="36"/>
          <w:lang w:val="en-US" w:eastAsia="zh-CN"/>
        </w:rPr>
        <w:sectPr>
          <w:pgSz w:w="11906" w:h="16838"/>
          <w:pgMar w:top="2098" w:right="1474" w:bottom="1928" w:left="1587" w:header="851" w:footer="992" w:gutter="0"/>
          <w:cols w:space="720" w:num="1"/>
          <w:docGrid w:type="lines" w:linePitch="312" w:charSpace="0"/>
        </w:sectPr>
      </w:pPr>
      <w:r>
        <w:rPr>
          <w:rFonts w:hint="eastAsia" w:ascii="宋体" w:hAnsi="宋体" w:cs="宋体"/>
          <w:b/>
          <w:bCs/>
          <w:kern w:val="2"/>
          <w:sz w:val="36"/>
          <w:szCs w:val="36"/>
          <w:lang w:val="en-US" w:eastAsia="zh-CN"/>
        </w:rPr>
        <w:t>五、厂家授权书、资质证明文件等其他证明资料</w:t>
      </w:r>
    </w:p>
    <w:p>
      <w:pPr>
        <w:pStyle w:val="49"/>
        <w:numPr>
          <w:ilvl w:val="0"/>
          <w:numId w:val="0"/>
        </w:numPr>
        <w:spacing w:after="0" w:line="240" w:lineRule="auto"/>
        <w:jc w:val="center"/>
        <w:rPr>
          <w:rFonts w:hint="eastAsia" w:ascii="宋体" w:hAnsi="宋体" w:cs="宋体"/>
          <w:b/>
          <w:bCs/>
          <w:kern w:val="2"/>
          <w:sz w:val="36"/>
          <w:szCs w:val="36"/>
          <w:lang w:val="en-US" w:eastAsia="zh-CN"/>
        </w:rPr>
      </w:pPr>
      <w:r>
        <w:rPr>
          <w:rFonts w:hint="eastAsia" w:ascii="宋体" w:hAnsi="宋体" w:cs="宋体"/>
          <w:b/>
          <w:bCs/>
          <w:kern w:val="2"/>
          <w:sz w:val="36"/>
          <w:szCs w:val="36"/>
          <w:lang w:val="en-US" w:eastAsia="zh-CN"/>
        </w:rPr>
        <w:t>六、投标人业绩、实力等其他证明资料（复印件加</w:t>
      </w:r>
    </w:p>
    <w:p>
      <w:pPr>
        <w:pStyle w:val="49"/>
        <w:numPr>
          <w:ilvl w:val="0"/>
          <w:numId w:val="0"/>
        </w:numPr>
        <w:spacing w:after="0" w:line="240" w:lineRule="auto"/>
        <w:jc w:val="center"/>
        <w:rPr>
          <w:rFonts w:hint="default" w:ascii="宋体" w:hAnsi="宋体" w:cs="宋体"/>
          <w:b/>
          <w:bCs/>
          <w:kern w:val="2"/>
          <w:sz w:val="36"/>
          <w:szCs w:val="36"/>
          <w:lang w:val="en-US" w:eastAsia="zh-CN"/>
        </w:rPr>
        <w:sectPr>
          <w:pgSz w:w="11906" w:h="16838"/>
          <w:pgMar w:top="2098" w:right="1474" w:bottom="1928" w:left="1587" w:header="851" w:footer="992" w:gutter="0"/>
          <w:cols w:space="720" w:num="1"/>
          <w:docGrid w:type="lines" w:linePitch="312" w:charSpace="0"/>
        </w:sectPr>
      </w:pPr>
      <w:r>
        <w:rPr>
          <w:rFonts w:hint="eastAsia" w:ascii="宋体" w:hAnsi="宋体" w:cs="宋体"/>
          <w:b/>
          <w:bCs/>
          <w:kern w:val="2"/>
          <w:sz w:val="36"/>
          <w:szCs w:val="36"/>
          <w:lang w:val="en-US" w:eastAsia="zh-CN"/>
        </w:rPr>
        <w:t>盖公章)</w:t>
      </w:r>
    </w:p>
    <w:p>
      <w:pPr>
        <w:pStyle w:val="49"/>
        <w:numPr>
          <w:ilvl w:val="0"/>
          <w:numId w:val="0"/>
        </w:numPr>
        <w:spacing w:after="0" w:line="240" w:lineRule="auto"/>
        <w:jc w:val="center"/>
        <w:rPr>
          <w:rFonts w:hint="eastAsia" w:ascii="宋体" w:hAnsi="宋体" w:eastAsia="宋体" w:cs="宋体"/>
          <w:b/>
          <w:bCs/>
          <w:kern w:val="2"/>
          <w:sz w:val="36"/>
          <w:szCs w:val="36"/>
          <w:lang w:val="en-US" w:eastAsia="zh-CN"/>
        </w:rPr>
      </w:pPr>
      <w:r>
        <w:rPr>
          <w:rFonts w:hint="eastAsia" w:ascii="宋体" w:hAnsi="宋体" w:eastAsia="宋体" w:cs="宋体"/>
          <w:b/>
          <w:bCs/>
          <w:kern w:val="2"/>
          <w:sz w:val="36"/>
          <w:szCs w:val="36"/>
          <w:lang w:val="en-US" w:eastAsia="zh-CN"/>
        </w:rPr>
        <w:t>七、投标人在“国家企业信用信息公示系统”网站、</w:t>
      </w:r>
    </w:p>
    <w:p>
      <w:pPr>
        <w:pStyle w:val="49"/>
        <w:numPr>
          <w:ilvl w:val="0"/>
          <w:numId w:val="0"/>
        </w:numPr>
        <w:spacing w:after="0" w:line="240" w:lineRule="auto"/>
        <w:jc w:val="center"/>
        <w:rPr>
          <w:rFonts w:hint="eastAsia" w:ascii="宋体" w:hAnsi="宋体" w:eastAsia="宋体" w:cs="宋体"/>
          <w:b/>
          <w:bCs/>
          <w:kern w:val="2"/>
          <w:sz w:val="36"/>
          <w:szCs w:val="36"/>
          <w:lang w:val="en-US" w:eastAsia="zh-CN"/>
        </w:rPr>
      </w:pPr>
      <w:r>
        <w:rPr>
          <w:rFonts w:hint="eastAsia" w:ascii="宋体" w:hAnsi="宋体" w:eastAsia="宋体" w:cs="宋体"/>
          <w:b/>
          <w:bCs/>
          <w:kern w:val="2"/>
          <w:sz w:val="36"/>
          <w:szCs w:val="36"/>
          <w:lang w:val="en-US" w:eastAsia="zh-CN"/>
        </w:rPr>
        <w:t>“信用中国”网站未被列为失信被执行人（提供查</w:t>
      </w:r>
    </w:p>
    <w:p>
      <w:pPr>
        <w:pStyle w:val="49"/>
        <w:numPr>
          <w:ilvl w:val="0"/>
          <w:numId w:val="0"/>
        </w:numPr>
        <w:spacing w:after="0" w:line="240" w:lineRule="auto"/>
        <w:jc w:val="center"/>
        <w:rPr>
          <w:rFonts w:hint="default" w:ascii="宋体" w:hAnsi="宋体" w:eastAsia="宋体" w:cs="宋体"/>
          <w:b/>
          <w:bCs/>
          <w:kern w:val="2"/>
          <w:sz w:val="36"/>
          <w:szCs w:val="36"/>
          <w:lang w:val="en-US" w:eastAsia="zh-CN"/>
        </w:rPr>
        <w:sectPr>
          <w:pgSz w:w="11906" w:h="16838"/>
          <w:pgMar w:top="2098" w:right="1474" w:bottom="1928" w:left="1587" w:header="851" w:footer="992" w:gutter="0"/>
          <w:cols w:space="720" w:num="1"/>
          <w:docGrid w:type="lines" w:linePitch="312" w:charSpace="0"/>
        </w:sectPr>
      </w:pPr>
      <w:r>
        <w:rPr>
          <w:rFonts w:hint="eastAsia" w:ascii="宋体" w:hAnsi="宋体" w:eastAsia="宋体" w:cs="宋体"/>
          <w:b/>
          <w:bCs/>
          <w:kern w:val="2"/>
          <w:sz w:val="36"/>
          <w:szCs w:val="36"/>
          <w:lang w:val="en-US" w:eastAsia="zh-CN"/>
        </w:rPr>
        <w:t>询结果网页截图）未列入《延长石油集团失信交易商名单》（附承诺书加盖公章）</w:t>
      </w:r>
    </w:p>
    <w:p>
      <w:pPr>
        <w:pStyle w:val="49"/>
        <w:numPr>
          <w:ilvl w:val="0"/>
          <w:numId w:val="0"/>
        </w:numPr>
        <w:spacing w:after="0" w:line="240" w:lineRule="auto"/>
        <w:jc w:val="center"/>
        <w:rPr>
          <w:rFonts w:hint="eastAsia" w:ascii="宋体" w:hAnsi="宋体" w:eastAsia="宋体" w:cs="宋体"/>
          <w:b/>
          <w:bCs/>
          <w:kern w:val="2"/>
          <w:sz w:val="36"/>
          <w:szCs w:val="36"/>
          <w:lang w:val="en-US" w:eastAsia="zh-CN"/>
        </w:rPr>
      </w:pPr>
      <w:r>
        <w:rPr>
          <w:rFonts w:hint="eastAsia" w:ascii="宋体" w:hAnsi="宋体" w:cs="宋体"/>
          <w:b/>
          <w:bCs/>
          <w:kern w:val="2"/>
          <w:sz w:val="36"/>
          <w:szCs w:val="36"/>
          <w:lang w:val="en-US" w:eastAsia="zh-CN"/>
        </w:rPr>
        <w:t>八</w:t>
      </w:r>
      <w:r>
        <w:rPr>
          <w:rFonts w:hint="eastAsia" w:ascii="宋体" w:hAnsi="宋体" w:eastAsia="宋体" w:cs="宋体"/>
          <w:b/>
          <w:bCs/>
          <w:kern w:val="2"/>
          <w:sz w:val="36"/>
          <w:szCs w:val="36"/>
          <w:lang w:val="en-US" w:eastAsia="zh-CN"/>
        </w:rPr>
        <w:t>、质量保证和售后服务</w:t>
      </w:r>
    </w:p>
    <w:p>
      <w:pPr>
        <w:rPr>
          <w:rFonts w:ascii="宋体" w:hAnsi="宋体" w:eastAsia="宋体" w:cs="宋体"/>
          <w:b/>
          <w:bCs/>
          <w:kern w:val="2"/>
          <w:sz w:val="36"/>
          <w:szCs w:val="36"/>
          <w:lang w:eastAsia="zh-CN"/>
        </w:rPr>
      </w:pPr>
      <w:r>
        <w:rPr>
          <w:rFonts w:ascii="宋体" w:hAnsi="宋体" w:eastAsia="宋体" w:cs="宋体"/>
          <w:b/>
          <w:bCs/>
          <w:kern w:val="2"/>
          <w:sz w:val="36"/>
          <w:szCs w:val="36"/>
          <w:lang w:eastAsia="zh-CN"/>
        </w:rPr>
        <w:br w:type="page"/>
      </w:r>
    </w:p>
    <w:p>
      <w:pPr>
        <w:pStyle w:val="2"/>
        <w:rPr>
          <w:lang w:eastAsia="zh-CN"/>
        </w:rPr>
      </w:pPr>
    </w:p>
    <w:p>
      <w:pPr>
        <w:pStyle w:val="49"/>
        <w:numPr>
          <w:ilvl w:val="0"/>
          <w:numId w:val="0"/>
        </w:numPr>
        <w:spacing w:after="0" w:line="240" w:lineRule="auto"/>
        <w:ind w:leftChars="0"/>
        <w:jc w:val="center"/>
        <w:rPr>
          <w:rFonts w:hint="eastAsia" w:ascii="宋体" w:hAnsi="宋体" w:eastAsia="宋体" w:cs="宋体"/>
          <w:b/>
          <w:bCs/>
          <w:kern w:val="2"/>
          <w:sz w:val="36"/>
          <w:szCs w:val="36"/>
          <w:lang w:eastAsia="zh-CN"/>
        </w:rPr>
      </w:pPr>
      <w:r>
        <w:rPr>
          <w:rFonts w:hint="eastAsia" w:ascii="宋体" w:hAnsi="宋体" w:cs="宋体"/>
          <w:b/>
          <w:bCs/>
          <w:kern w:val="2"/>
          <w:sz w:val="36"/>
          <w:szCs w:val="36"/>
          <w:lang w:val="en-US" w:eastAsia="zh-CN"/>
        </w:rPr>
        <w:t>九、</w:t>
      </w:r>
      <w:r>
        <w:rPr>
          <w:rFonts w:hint="eastAsia" w:ascii="宋体" w:hAnsi="宋体" w:eastAsia="宋体" w:cs="宋体"/>
          <w:b/>
          <w:bCs/>
          <w:kern w:val="2"/>
          <w:sz w:val="36"/>
          <w:szCs w:val="36"/>
          <w:lang w:eastAsia="zh-CN"/>
        </w:rPr>
        <w:t>陕西燃气集团工程有限公司</w:t>
      </w:r>
    </w:p>
    <w:p>
      <w:pPr>
        <w:pStyle w:val="49"/>
        <w:numPr>
          <w:ilvl w:val="0"/>
          <w:numId w:val="0"/>
        </w:numPr>
        <w:spacing w:after="0" w:line="240" w:lineRule="auto"/>
        <w:ind w:leftChars="0"/>
        <w:jc w:val="center"/>
        <w:rPr>
          <w:rFonts w:hint="eastAsia" w:ascii="宋体" w:hAnsi="宋体" w:eastAsia="宋体" w:cs="宋体"/>
          <w:b/>
          <w:bCs/>
          <w:kern w:val="2"/>
          <w:sz w:val="36"/>
          <w:szCs w:val="36"/>
          <w:lang w:val="en-US" w:eastAsia="zh-CN"/>
        </w:rPr>
      </w:pPr>
      <w:r>
        <w:rPr>
          <w:rFonts w:hint="eastAsia" w:ascii="宋体" w:hAnsi="宋体" w:eastAsia="宋体" w:cs="宋体"/>
          <w:b/>
          <w:bCs/>
          <w:kern w:val="2"/>
          <w:sz w:val="36"/>
          <w:szCs w:val="36"/>
          <w:lang w:val="en-US" w:eastAsia="zh-CN"/>
        </w:rPr>
        <w:t>咸阳市热力公司利用热电联产热网新建及改建</w:t>
      </w:r>
    </w:p>
    <w:p>
      <w:pPr>
        <w:pStyle w:val="49"/>
        <w:numPr>
          <w:ilvl w:val="0"/>
          <w:numId w:val="0"/>
        </w:numPr>
        <w:spacing w:after="0" w:line="240" w:lineRule="auto"/>
        <w:ind w:leftChars="0"/>
        <w:jc w:val="center"/>
        <w:rPr>
          <w:rFonts w:hint="eastAsia" w:ascii="宋体" w:hAnsi="宋体" w:eastAsia="宋体" w:cs="宋体"/>
          <w:b/>
          <w:bCs/>
          <w:kern w:val="2"/>
          <w:sz w:val="36"/>
          <w:szCs w:val="36"/>
          <w:lang w:eastAsia="zh-CN"/>
        </w:rPr>
      </w:pPr>
      <w:r>
        <w:rPr>
          <w:rFonts w:hint="eastAsia" w:ascii="宋体" w:hAnsi="宋体" w:eastAsia="宋体" w:cs="宋体"/>
          <w:b/>
          <w:bCs/>
          <w:kern w:val="2"/>
          <w:sz w:val="36"/>
          <w:szCs w:val="36"/>
          <w:lang w:val="en-US" w:eastAsia="zh-CN"/>
        </w:rPr>
        <w:t>项目二期工程</w:t>
      </w:r>
      <w:r>
        <w:rPr>
          <w:rFonts w:hint="eastAsia" w:ascii="宋体" w:hAnsi="宋体" w:cs="宋体"/>
          <w:b/>
          <w:bCs/>
          <w:kern w:val="2"/>
          <w:sz w:val="36"/>
          <w:szCs w:val="36"/>
          <w:lang w:val="en-US" w:eastAsia="zh-CN"/>
        </w:rPr>
        <w:t>补偿器</w:t>
      </w:r>
      <w:r>
        <w:rPr>
          <w:rFonts w:hint="eastAsia" w:ascii="宋体" w:hAnsi="宋体" w:eastAsia="宋体" w:cs="宋体"/>
          <w:b/>
          <w:bCs/>
          <w:kern w:val="2"/>
          <w:sz w:val="36"/>
          <w:szCs w:val="36"/>
          <w:lang w:val="en-US" w:eastAsia="zh-CN"/>
        </w:rPr>
        <w:t>采</w:t>
      </w:r>
      <w:r>
        <w:rPr>
          <w:rFonts w:hint="eastAsia" w:ascii="宋体" w:hAnsi="宋体" w:eastAsia="宋体" w:cs="宋体"/>
          <w:b/>
          <w:bCs/>
          <w:kern w:val="2"/>
          <w:sz w:val="36"/>
          <w:szCs w:val="36"/>
          <w:lang w:eastAsia="zh-CN"/>
        </w:rPr>
        <w:t>购竞争性谈判报价回执</w:t>
      </w:r>
    </w:p>
    <w:p>
      <w:pPr>
        <w:spacing w:after="0" w:line="240" w:lineRule="auto"/>
        <w:ind w:firstLine="480" w:firstLineChars="200"/>
        <w:rPr>
          <w:rFonts w:ascii="宋体" w:hAnsi="宋体" w:eastAsia="宋体" w:cs="宋体"/>
          <w:sz w:val="24"/>
          <w:lang w:eastAsia="zh-CN"/>
        </w:rPr>
      </w:pPr>
    </w:p>
    <w:p>
      <w:pPr>
        <w:spacing w:line="240" w:lineRule="auto"/>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我公司同意并接受该项目报价要求的内容，参与贵公司:</w:t>
      </w:r>
      <w:r>
        <w:rPr>
          <w:rFonts w:hint="eastAsia" w:ascii="宋体" w:hAnsi="宋体" w:eastAsia="宋体" w:cs="宋体"/>
          <w:kern w:val="2"/>
          <w:sz w:val="28"/>
          <w:szCs w:val="28"/>
          <w:u w:val="single"/>
          <w:lang w:eastAsia="zh-CN"/>
        </w:rPr>
        <w:t xml:space="preserve"> </w:t>
      </w:r>
      <w:r>
        <w:rPr>
          <w:rFonts w:hint="eastAsia" w:ascii="宋体" w:hAnsi="宋体" w:cs="宋体"/>
          <w:kern w:val="2"/>
          <w:sz w:val="28"/>
          <w:szCs w:val="28"/>
          <w:u w:val="single"/>
          <w:lang w:val="en-US" w:eastAsia="zh-CN"/>
        </w:rPr>
        <w:t xml:space="preserve"> </w:t>
      </w:r>
      <w:r>
        <w:rPr>
          <w:rFonts w:hint="eastAsia" w:ascii="宋体" w:hAnsi="宋体" w:eastAsia="宋体" w:cs="宋体"/>
          <w:kern w:val="2"/>
          <w:sz w:val="28"/>
          <w:szCs w:val="28"/>
          <w:u w:val="single"/>
          <w:lang w:val="en-US" w:eastAsia="zh-CN"/>
        </w:rPr>
        <w:t>咸阳市热力公司利用热电联产热网新建及改建项目二期工程</w:t>
      </w:r>
      <w:r>
        <w:rPr>
          <w:rFonts w:hint="eastAsia" w:ascii="宋体" w:hAnsi="宋体" w:cs="宋体"/>
          <w:kern w:val="2"/>
          <w:sz w:val="28"/>
          <w:szCs w:val="28"/>
          <w:u w:val="single"/>
          <w:lang w:val="en-US" w:eastAsia="zh-CN"/>
        </w:rPr>
        <w:t>补偿器</w:t>
      </w:r>
      <w:r>
        <w:rPr>
          <w:rFonts w:hint="eastAsia" w:ascii="宋体" w:hAnsi="宋体" w:eastAsia="宋体" w:cs="宋体"/>
          <w:kern w:val="2"/>
          <w:sz w:val="28"/>
          <w:szCs w:val="28"/>
          <w:u w:val="single"/>
          <w:lang w:val="en-US" w:eastAsia="zh-CN"/>
        </w:rPr>
        <w:t xml:space="preserve">采购 </w:t>
      </w:r>
      <w:r>
        <w:rPr>
          <w:rFonts w:hint="eastAsia" w:ascii="宋体" w:hAnsi="宋体" w:cs="宋体"/>
          <w:kern w:val="2"/>
          <w:sz w:val="28"/>
          <w:szCs w:val="28"/>
          <w:u w:val="single"/>
          <w:lang w:val="en-US" w:eastAsia="zh-CN"/>
        </w:rPr>
        <w:t xml:space="preserve"> </w:t>
      </w:r>
      <w:r>
        <w:rPr>
          <w:rFonts w:hint="eastAsia" w:ascii="宋体" w:hAnsi="宋体" w:eastAsia="宋体" w:cs="宋体"/>
          <w:kern w:val="2"/>
          <w:sz w:val="28"/>
          <w:szCs w:val="28"/>
          <w:lang w:val="en-US" w:eastAsia="zh-CN"/>
        </w:rPr>
        <w:t>项目</w:t>
      </w:r>
      <w:r>
        <w:rPr>
          <w:rFonts w:hint="eastAsia" w:ascii="宋体" w:hAnsi="宋体" w:eastAsia="宋体" w:cs="宋体"/>
          <w:kern w:val="2"/>
          <w:sz w:val="28"/>
          <w:szCs w:val="28"/>
          <w:lang w:eastAsia="zh-CN"/>
        </w:rPr>
        <w:t>的洽谈。我公司将安排</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u w:val="single"/>
          <w:lang w:val="en-US" w:eastAsia="zh-CN"/>
        </w:rPr>
        <w:t xml:space="preserve">    </w:t>
      </w:r>
      <w:r>
        <w:rPr>
          <w:rFonts w:hint="eastAsia" w:ascii="宋体" w:hAnsi="宋体" w:cs="宋体"/>
          <w:kern w:val="2"/>
          <w:sz w:val="28"/>
          <w:szCs w:val="28"/>
          <w:u w:val="none"/>
          <w:lang w:val="en-US" w:eastAsia="zh-CN"/>
        </w:rPr>
        <w:t xml:space="preserve"> </w:t>
      </w:r>
      <w:r>
        <w:rPr>
          <w:rFonts w:hint="eastAsia" w:ascii="宋体" w:hAnsi="宋体" w:eastAsia="宋体" w:cs="宋体"/>
          <w:kern w:val="2"/>
          <w:sz w:val="28"/>
          <w:szCs w:val="28"/>
          <w:lang w:eastAsia="zh-CN"/>
        </w:rPr>
        <w:t>（先生/小姐）作为本次洽谈的联系人，联系电话为</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，传真号码为</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 xml:space="preserve"> 。我们将按贵公司要求提交相应文件，对于洽谈期间的部分往来文件我们接受以电邮/传真方式进行传递。</w:t>
      </w:r>
    </w:p>
    <w:p>
      <w:pPr>
        <w:tabs>
          <w:tab w:val="left" w:pos="6600"/>
        </w:tabs>
        <w:snapToGrid w:val="0"/>
        <w:spacing w:after="0" w:line="240" w:lineRule="auto"/>
        <w:ind w:firstLine="560" w:firstLineChars="200"/>
        <w:textAlignment w:val="bottom"/>
        <w:rPr>
          <w:rFonts w:ascii="宋体" w:hAnsi="宋体" w:eastAsia="宋体" w:cs="宋体"/>
          <w:sz w:val="28"/>
          <w:szCs w:val="28"/>
          <w:lang w:eastAsia="zh-CN"/>
        </w:rPr>
      </w:pPr>
    </w:p>
    <w:p>
      <w:pPr>
        <w:tabs>
          <w:tab w:val="left" w:pos="6600"/>
        </w:tabs>
        <w:snapToGrid w:val="0"/>
        <w:spacing w:after="0" w:line="240" w:lineRule="auto"/>
        <w:ind w:firstLine="560" w:firstLineChars="200"/>
        <w:textAlignment w:val="bottom"/>
        <w:rPr>
          <w:rFonts w:ascii="宋体" w:hAnsi="宋体" w:eastAsia="宋体" w:cs="宋体"/>
          <w:sz w:val="28"/>
          <w:szCs w:val="28"/>
          <w:lang w:eastAsia="zh-CN"/>
        </w:rPr>
      </w:pPr>
    </w:p>
    <w:p>
      <w:pPr>
        <w:pStyle w:val="2"/>
        <w:rPr>
          <w:lang w:eastAsia="zh-CN"/>
        </w:rPr>
      </w:pPr>
    </w:p>
    <w:p>
      <w:pPr>
        <w:pStyle w:val="48"/>
        <w:snapToGrid w:val="0"/>
        <w:spacing w:after="0" w:line="240" w:lineRule="auto"/>
        <w:ind w:firstLine="560" w:firstLineChars="200"/>
        <w:jc w:val="both"/>
        <w:rPr>
          <w:rFonts w:ascii="宋体" w:hAnsi="宋体" w:eastAsia="宋体" w:cs="宋体"/>
          <w:kern w:val="2"/>
          <w:sz w:val="28"/>
          <w:szCs w:val="28"/>
          <w:lang w:eastAsia="zh-CN"/>
        </w:rPr>
      </w:pPr>
    </w:p>
    <w:p>
      <w:pPr>
        <w:tabs>
          <w:tab w:val="left" w:pos="6600"/>
        </w:tabs>
        <w:snapToGrid w:val="0"/>
        <w:spacing w:after="0" w:line="240" w:lineRule="auto"/>
        <w:ind w:firstLine="3640" w:firstLineChars="1300"/>
        <w:jc w:val="both"/>
        <w:textAlignment w:val="bottom"/>
        <w:rPr>
          <w:rFonts w:hint="eastAsia" w:ascii="宋体" w:hAnsi="宋体" w:eastAsia="宋体" w:cs="宋体"/>
          <w:sz w:val="28"/>
          <w:szCs w:val="28"/>
          <w:lang w:eastAsia="zh-CN"/>
        </w:rPr>
      </w:pPr>
    </w:p>
    <w:p>
      <w:pPr>
        <w:tabs>
          <w:tab w:val="left" w:pos="6600"/>
        </w:tabs>
        <w:wordWrap w:val="0"/>
        <w:snapToGrid w:val="0"/>
        <w:spacing w:after="0" w:line="240" w:lineRule="auto"/>
        <w:jc w:val="right"/>
        <w:textAlignment w:val="bottom"/>
        <w:rPr>
          <w:rFonts w:hint="default" w:ascii="宋体" w:hAnsi="宋体" w:eastAsia="宋体" w:cs="宋体"/>
          <w:sz w:val="28"/>
          <w:szCs w:val="28"/>
          <w:lang w:val="en-US" w:eastAsia="zh-CN"/>
        </w:rPr>
      </w:pPr>
      <w:r>
        <w:rPr>
          <w:rFonts w:hint="eastAsia" w:ascii="宋体" w:hAnsi="宋体" w:eastAsia="宋体" w:cs="宋体"/>
          <w:sz w:val="28"/>
          <w:szCs w:val="28"/>
          <w:lang w:eastAsia="zh-CN"/>
        </w:rPr>
        <w:t>洽谈单位（盖章）：</w:t>
      </w:r>
      <w:r>
        <w:rPr>
          <w:rFonts w:hint="eastAsia" w:ascii="宋体" w:hAnsi="宋体" w:cs="宋体"/>
          <w:sz w:val="28"/>
          <w:szCs w:val="28"/>
          <w:lang w:val="en-US" w:eastAsia="zh-CN"/>
        </w:rPr>
        <w:t xml:space="preserve">                     </w:t>
      </w:r>
    </w:p>
    <w:p>
      <w:pPr>
        <w:tabs>
          <w:tab w:val="left" w:pos="6600"/>
        </w:tabs>
        <w:snapToGrid w:val="0"/>
        <w:spacing w:after="0" w:line="240" w:lineRule="auto"/>
        <w:ind w:firstLine="560" w:firstLineChars="200"/>
        <w:jc w:val="right"/>
        <w:textAlignment w:val="bottom"/>
        <w:rPr>
          <w:rFonts w:ascii="宋体" w:hAnsi="宋体" w:eastAsia="宋体" w:cs="宋体"/>
          <w:sz w:val="28"/>
          <w:szCs w:val="28"/>
          <w:u w:val="single"/>
          <w:lang w:eastAsia="zh-CN"/>
        </w:rPr>
      </w:pPr>
    </w:p>
    <w:p>
      <w:pPr>
        <w:tabs>
          <w:tab w:val="left" w:pos="6600"/>
        </w:tabs>
        <w:snapToGrid w:val="0"/>
        <w:spacing w:after="0" w:line="240" w:lineRule="auto"/>
        <w:ind w:firstLine="6160" w:firstLineChars="2200"/>
        <w:jc w:val="both"/>
        <w:textAlignment w:val="bottom"/>
        <w:rPr>
          <w:rFonts w:hint="eastAsia" w:ascii="宋体" w:hAnsi="宋体" w:eastAsia="宋体" w:cs="宋体"/>
          <w:sz w:val="28"/>
          <w:szCs w:val="28"/>
          <w:lang w:eastAsia="zh-CN"/>
        </w:rPr>
      </w:pP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年</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月</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 xml:space="preserve">日    </w:t>
      </w:r>
    </w:p>
    <w:p>
      <w:pPr>
        <w:pStyle w:val="2"/>
        <w:ind w:left="0" w:leftChars="0" w:firstLine="0" w:firstLineChars="0"/>
        <w:rPr>
          <w:rFonts w:hint="eastAsia" w:ascii="宋体" w:hAnsi="宋体" w:eastAsia="宋体" w:cs="宋体"/>
          <w:sz w:val="28"/>
          <w:szCs w:val="28"/>
          <w:lang w:eastAsia="zh-CN"/>
        </w:rPr>
      </w:pPr>
    </w:p>
    <w:p>
      <w:pPr>
        <w:pStyle w:val="2"/>
        <w:ind w:firstLine="0" w:firstLineChars="0"/>
        <w:jc w:val="both"/>
        <w:rPr>
          <w:rFonts w:hint="default" w:ascii="宋体" w:hAnsi="宋体" w:eastAsia="宋体" w:cs="宋体"/>
          <w:sz w:val="32"/>
          <w:szCs w:val="32"/>
          <w:lang w:val="en-US" w:eastAsia="zh-CN"/>
        </w:rPr>
      </w:pPr>
    </w:p>
    <w:sectPr>
      <w:pgSz w:w="11906" w:h="16838"/>
      <w:pgMar w:top="2098" w:right="1474" w:bottom="1928"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幼圆">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embedRegular r:id="rId1" w:fontKey="{27838C2B-62A2-46AE-A218-554240DFF6F9}"/>
  </w:font>
  <w:font w:name="MS Outlook">
    <w:panose1 w:val="05010100010000000000"/>
    <w:charset w:val="02"/>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embedRegular r:id="rId2" w:fontKey="{F6AB2BEA-2167-4898-B960-D5E8B3BE708C}"/>
  </w:font>
  <w:font w:name="黑体fal">
    <w:altName w:val="黑体"/>
    <w:panose1 w:val="00000000000000000000"/>
    <w:charset w:val="86"/>
    <w:family w:val="auto"/>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方正小标宋简体">
    <w:panose1 w:val="03000509000000000000"/>
    <w:charset w:val="86"/>
    <w:family w:val="auto"/>
    <w:pitch w:val="default"/>
    <w:sig w:usb0="00000001" w:usb1="080E0000" w:usb2="00000000" w:usb3="00000000" w:csb0="00040000" w:csb1="00000000"/>
    <w:embedRegular r:id="rId3" w:fontKey="{484CF929-9D94-4DBE-AF61-496BE53B33DC}"/>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AGT8E72wEAAMADAAAOAAAAAAAAAAEA&#10;IAAAAB4BAABkcnMvZTJvRG9jLnhtbFBLBQYAAAAABgAGAFkBAABrBQ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708DD7"/>
    <w:multiLevelType w:val="singleLevel"/>
    <w:tmpl w:val="89708DD7"/>
    <w:lvl w:ilvl="0" w:tentative="0">
      <w:start w:val="1"/>
      <w:numFmt w:val="chineseCounting"/>
      <w:suff w:val="nothing"/>
      <w:lvlText w:val="%1、"/>
      <w:lvlJc w:val="left"/>
      <w:rPr>
        <w:rFonts w:hint="eastAsia"/>
      </w:rPr>
    </w:lvl>
  </w:abstractNum>
  <w:abstractNum w:abstractNumId="1">
    <w:nsid w:val="8F4D4FD0"/>
    <w:multiLevelType w:val="singleLevel"/>
    <w:tmpl w:val="8F4D4FD0"/>
    <w:lvl w:ilvl="0" w:tentative="0">
      <w:start w:val="1"/>
      <w:numFmt w:val="chineseCounting"/>
      <w:suff w:val="nothing"/>
      <w:lvlText w:val="（%1）"/>
      <w:lvlJc w:val="left"/>
      <w:rPr>
        <w:rFonts w:hint="eastAsia"/>
      </w:rPr>
    </w:lvl>
  </w:abstractNum>
  <w:abstractNum w:abstractNumId="2">
    <w:nsid w:val="F0604104"/>
    <w:multiLevelType w:val="singleLevel"/>
    <w:tmpl w:val="F0604104"/>
    <w:lvl w:ilvl="0" w:tentative="0">
      <w:start w:val="1"/>
      <w:numFmt w:val="decimal"/>
      <w:suff w:val="nothing"/>
      <w:lvlText w:val="%1、"/>
      <w:lvlJc w:val="left"/>
    </w:lvl>
  </w:abstractNum>
  <w:abstractNum w:abstractNumId="3">
    <w:nsid w:val="0DF8C621"/>
    <w:multiLevelType w:val="singleLevel"/>
    <w:tmpl w:val="0DF8C621"/>
    <w:lvl w:ilvl="0" w:tentative="0">
      <w:start w:val="2"/>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xZmY1ZWZhNjVhNGE2NWE0OGUxNWQ0NzNmMTQ2YTIifQ=="/>
  </w:docVars>
  <w:rsids>
    <w:rsidRoot w:val="00394A51"/>
    <w:rsid w:val="00001CFF"/>
    <w:rsid w:val="0000495A"/>
    <w:rsid w:val="000302BD"/>
    <w:rsid w:val="00070A93"/>
    <w:rsid w:val="000E23BA"/>
    <w:rsid w:val="0010429D"/>
    <w:rsid w:val="00124206"/>
    <w:rsid w:val="00135D16"/>
    <w:rsid w:val="001863A7"/>
    <w:rsid w:val="0021601A"/>
    <w:rsid w:val="00241040"/>
    <w:rsid w:val="00241285"/>
    <w:rsid w:val="002638FE"/>
    <w:rsid w:val="00286FA5"/>
    <w:rsid w:val="00297494"/>
    <w:rsid w:val="002A40C5"/>
    <w:rsid w:val="002A628F"/>
    <w:rsid w:val="002B01D2"/>
    <w:rsid w:val="002C2A08"/>
    <w:rsid w:val="002F46E4"/>
    <w:rsid w:val="00337B7C"/>
    <w:rsid w:val="00340A0F"/>
    <w:rsid w:val="00343F4A"/>
    <w:rsid w:val="00345273"/>
    <w:rsid w:val="00382FCE"/>
    <w:rsid w:val="003859E9"/>
    <w:rsid w:val="00387D74"/>
    <w:rsid w:val="0039441B"/>
    <w:rsid w:val="00394A51"/>
    <w:rsid w:val="003C25BF"/>
    <w:rsid w:val="003F7C79"/>
    <w:rsid w:val="00414A6C"/>
    <w:rsid w:val="00423CB6"/>
    <w:rsid w:val="00430A9E"/>
    <w:rsid w:val="00452DCC"/>
    <w:rsid w:val="00474E27"/>
    <w:rsid w:val="004B3937"/>
    <w:rsid w:val="004B59C4"/>
    <w:rsid w:val="004E7A02"/>
    <w:rsid w:val="004F21CB"/>
    <w:rsid w:val="00502992"/>
    <w:rsid w:val="00516221"/>
    <w:rsid w:val="005179E9"/>
    <w:rsid w:val="00544E61"/>
    <w:rsid w:val="005506F7"/>
    <w:rsid w:val="0055681C"/>
    <w:rsid w:val="00562535"/>
    <w:rsid w:val="005B1900"/>
    <w:rsid w:val="005F3DF4"/>
    <w:rsid w:val="005F6500"/>
    <w:rsid w:val="00600BCB"/>
    <w:rsid w:val="006100AE"/>
    <w:rsid w:val="00635591"/>
    <w:rsid w:val="00654DCB"/>
    <w:rsid w:val="006723C1"/>
    <w:rsid w:val="00674AA1"/>
    <w:rsid w:val="006C1C17"/>
    <w:rsid w:val="006E2A33"/>
    <w:rsid w:val="0070686A"/>
    <w:rsid w:val="007118F6"/>
    <w:rsid w:val="007403B0"/>
    <w:rsid w:val="00740E25"/>
    <w:rsid w:val="00742097"/>
    <w:rsid w:val="0075518C"/>
    <w:rsid w:val="00756D9C"/>
    <w:rsid w:val="00765BE6"/>
    <w:rsid w:val="00771D68"/>
    <w:rsid w:val="0077555E"/>
    <w:rsid w:val="007C4341"/>
    <w:rsid w:val="007E4706"/>
    <w:rsid w:val="00811C36"/>
    <w:rsid w:val="00834D95"/>
    <w:rsid w:val="00845912"/>
    <w:rsid w:val="00856A3B"/>
    <w:rsid w:val="008877E3"/>
    <w:rsid w:val="00893CB0"/>
    <w:rsid w:val="008B5837"/>
    <w:rsid w:val="008D2B99"/>
    <w:rsid w:val="008F5947"/>
    <w:rsid w:val="0090502F"/>
    <w:rsid w:val="009214F7"/>
    <w:rsid w:val="009226C8"/>
    <w:rsid w:val="00926511"/>
    <w:rsid w:val="00951688"/>
    <w:rsid w:val="009614FA"/>
    <w:rsid w:val="009820ED"/>
    <w:rsid w:val="00996726"/>
    <w:rsid w:val="009B04E4"/>
    <w:rsid w:val="009D1BBF"/>
    <w:rsid w:val="00A039FB"/>
    <w:rsid w:val="00A10BFA"/>
    <w:rsid w:val="00A21673"/>
    <w:rsid w:val="00A26E8B"/>
    <w:rsid w:val="00A273B9"/>
    <w:rsid w:val="00A33881"/>
    <w:rsid w:val="00A47CEA"/>
    <w:rsid w:val="00A836BB"/>
    <w:rsid w:val="00AC429C"/>
    <w:rsid w:val="00AC4301"/>
    <w:rsid w:val="00B2010A"/>
    <w:rsid w:val="00B20CCA"/>
    <w:rsid w:val="00B95713"/>
    <w:rsid w:val="00BA63CA"/>
    <w:rsid w:val="00BD3DAC"/>
    <w:rsid w:val="00BE3CED"/>
    <w:rsid w:val="00BF765D"/>
    <w:rsid w:val="00C42725"/>
    <w:rsid w:val="00C93642"/>
    <w:rsid w:val="00CB0CCE"/>
    <w:rsid w:val="00CD629E"/>
    <w:rsid w:val="00D23101"/>
    <w:rsid w:val="00D248A3"/>
    <w:rsid w:val="00D27540"/>
    <w:rsid w:val="00D44919"/>
    <w:rsid w:val="00D56A84"/>
    <w:rsid w:val="00D641F4"/>
    <w:rsid w:val="00D80764"/>
    <w:rsid w:val="00DA4077"/>
    <w:rsid w:val="00DB6B58"/>
    <w:rsid w:val="00DD69D8"/>
    <w:rsid w:val="00DE3DD6"/>
    <w:rsid w:val="00DF3394"/>
    <w:rsid w:val="00E05FAD"/>
    <w:rsid w:val="00E53E70"/>
    <w:rsid w:val="00E54EEC"/>
    <w:rsid w:val="00E94029"/>
    <w:rsid w:val="00E971E4"/>
    <w:rsid w:val="00EE55A4"/>
    <w:rsid w:val="00EF5921"/>
    <w:rsid w:val="00EF7014"/>
    <w:rsid w:val="00F00B54"/>
    <w:rsid w:val="00F17A33"/>
    <w:rsid w:val="00F35101"/>
    <w:rsid w:val="00F370E5"/>
    <w:rsid w:val="00F3747E"/>
    <w:rsid w:val="00F505D5"/>
    <w:rsid w:val="00F50B14"/>
    <w:rsid w:val="00FB1B74"/>
    <w:rsid w:val="00FD5EFE"/>
    <w:rsid w:val="01E14A38"/>
    <w:rsid w:val="02497C0B"/>
    <w:rsid w:val="025C005C"/>
    <w:rsid w:val="026926CC"/>
    <w:rsid w:val="02A60018"/>
    <w:rsid w:val="02E9218F"/>
    <w:rsid w:val="02FE482F"/>
    <w:rsid w:val="031A68EA"/>
    <w:rsid w:val="03E919EC"/>
    <w:rsid w:val="043450AC"/>
    <w:rsid w:val="0497742C"/>
    <w:rsid w:val="04CF1E07"/>
    <w:rsid w:val="05055CA7"/>
    <w:rsid w:val="055E6A41"/>
    <w:rsid w:val="05A37F3E"/>
    <w:rsid w:val="062D594E"/>
    <w:rsid w:val="06A11B27"/>
    <w:rsid w:val="06B56F46"/>
    <w:rsid w:val="06F5135C"/>
    <w:rsid w:val="06FF6171"/>
    <w:rsid w:val="071B4C49"/>
    <w:rsid w:val="079B5895"/>
    <w:rsid w:val="081E47AF"/>
    <w:rsid w:val="083D1897"/>
    <w:rsid w:val="08635D9F"/>
    <w:rsid w:val="08B33A1B"/>
    <w:rsid w:val="09091E8B"/>
    <w:rsid w:val="09196A8A"/>
    <w:rsid w:val="09653D7E"/>
    <w:rsid w:val="096F6B05"/>
    <w:rsid w:val="09A555BC"/>
    <w:rsid w:val="0A2E402E"/>
    <w:rsid w:val="0A497D62"/>
    <w:rsid w:val="0A8770AF"/>
    <w:rsid w:val="0AE624F2"/>
    <w:rsid w:val="0B2932A9"/>
    <w:rsid w:val="0BAF5CFD"/>
    <w:rsid w:val="0C0E70CD"/>
    <w:rsid w:val="0C270DEC"/>
    <w:rsid w:val="0C63132C"/>
    <w:rsid w:val="0CB72372"/>
    <w:rsid w:val="0D3832CF"/>
    <w:rsid w:val="0D8152F5"/>
    <w:rsid w:val="0DF02DF4"/>
    <w:rsid w:val="0E3F74B3"/>
    <w:rsid w:val="0E620603"/>
    <w:rsid w:val="0E755A06"/>
    <w:rsid w:val="0F020CE8"/>
    <w:rsid w:val="0FAE6C29"/>
    <w:rsid w:val="0FCF484D"/>
    <w:rsid w:val="1002488C"/>
    <w:rsid w:val="10714BC1"/>
    <w:rsid w:val="1072605F"/>
    <w:rsid w:val="10834BA2"/>
    <w:rsid w:val="10D90B98"/>
    <w:rsid w:val="10F11D43"/>
    <w:rsid w:val="10F93091"/>
    <w:rsid w:val="11494DF7"/>
    <w:rsid w:val="117A1736"/>
    <w:rsid w:val="1189337F"/>
    <w:rsid w:val="11EE213D"/>
    <w:rsid w:val="120314AE"/>
    <w:rsid w:val="12474BA3"/>
    <w:rsid w:val="124A38EA"/>
    <w:rsid w:val="12915BA1"/>
    <w:rsid w:val="12A33350"/>
    <w:rsid w:val="12E944D4"/>
    <w:rsid w:val="13230A9C"/>
    <w:rsid w:val="1438224C"/>
    <w:rsid w:val="143B31BA"/>
    <w:rsid w:val="147B2863"/>
    <w:rsid w:val="14DF5F6B"/>
    <w:rsid w:val="15B54756"/>
    <w:rsid w:val="15C0156B"/>
    <w:rsid w:val="15D26D59"/>
    <w:rsid w:val="16476C59"/>
    <w:rsid w:val="164A40FD"/>
    <w:rsid w:val="164E77A2"/>
    <w:rsid w:val="16673495"/>
    <w:rsid w:val="17AA0C9F"/>
    <w:rsid w:val="1857306C"/>
    <w:rsid w:val="185C4748"/>
    <w:rsid w:val="189F2F01"/>
    <w:rsid w:val="18C11FF4"/>
    <w:rsid w:val="18E55A67"/>
    <w:rsid w:val="18E63995"/>
    <w:rsid w:val="18E941BF"/>
    <w:rsid w:val="196A54B3"/>
    <w:rsid w:val="1976123A"/>
    <w:rsid w:val="1B291859"/>
    <w:rsid w:val="1B541992"/>
    <w:rsid w:val="1BE36575"/>
    <w:rsid w:val="1C0E658E"/>
    <w:rsid w:val="1C2229D6"/>
    <w:rsid w:val="1C456932"/>
    <w:rsid w:val="1D483523"/>
    <w:rsid w:val="1D7B16E2"/>
    <w:rsid w:val="1D874678"/>
    <w:rsid w:val="1DCA5F3E"/>
    <w:rsid w:val="1DCD7BE2"/>
    <w:rsid w:val="1E193401"/>
    <w:rsid w:val="1E49616B"/>
    <w:rsid w:val="1E690D22"/>
    <w:rsid w:val="1E813387"/>
    <w:rsid w:val="1EA013DF"/>
    <w:rsid w:val="1EB74DFC"/>
    <w:rsid w:val="1F4C1053"/>
    <w:rsid w:val="1F543666"/>
    <w:rsid w:val="1FAD46B3"/>
    <w:rsid w:val="1FC3545A"/>
    <w:rsid w:val="1FE80954"/>
    <w:rsid w:val="202334CD"/>
    <w:rsid w:val="205159CE"/>
    <w:rsid w:val="20FD356C"/>
    <w:rsid w:val="212551CC"/>
    <w:rsid w:val="214B794E"/>
    <w:rsid w:val="217C5EFE"/>
    <w:rsid w:val="223B58C5"/>
    <w:rsid w:val="22BA1DE1"/>
    <w:rsid w:val="237202AC"/>
    <w:rsid w:val="23B034F3"/>
    <w:rsid w:val="23CE62EC"/>
    <w:rsid w:val="23EE3916"/>
    <w:rsid w:val="24351414"/>
    <w:rsid w:val="243B01A4"/>
    <w:rsid w:val="24432BA1"/>
    <w:rsid w:val="244A1820"/>
    <w:rsid w:val="24616393"/>
    <w:rsid w:val="24CA1DCA"/>
    <w:rsid w:val="25F934C3"/>
    <w:rsid w:val="261F7BFC"/>
    <w:rsid w:val="26566C4F"/>
    <w:rsid w:val="265A4A4B"/>
    <w:rsid w:val="26B20955"/>
    <w:rsid w:val="26D33913"/>
    <w:rsid w:val="2738293A"/>
    <w:rsid w:val="27793455"/>
    <w:rsid w:val="2781160D"/>
    <w:rsid w:val="279F63B2"/>
    <w:rsid w:val="27BE60C8"/>
    <w:rsid w:val="28E16AF1"/>
    <w:rsid w:val="29041680"/>
    <w:rsid w:val="291D5BC0"/>
    <w:rsid w:val="29326632"/>
    <w:rsid w:val="29B233CF"/>
    <w:rsid w:val="29B34098"/>
    <w:rsid w:val="29B8045B"/>
    <w:rsid w:val="2A6873D9"/>
    <w:rsid w:val="2A925CC5"/>
    <w:rsid w:val="2B1169E1"/>
    <w:rsid w:val="2B155FBD"/>
    <w:rsid w:val="2B574474"/>
    <w:rsid w:val="2D0B6797"/>
    <w:rsid w:val="2D4E02F3"/>
    <w:rsid w:val="2DF2419C"/>
    <w:rsid w:val="2F4C1ADC"/>
    <w:rsid w:val="2F571061"/>
    <w:rsid w:val="2F7D0DB4"/>
    <w:rsid w:val="2F7D16A3"/>
    <w:rsid w:val="2FB13E9F"/>
    <w:rsid w:val="2FED49A5"/>
    <w:rsid w:val="30351621"/>
    <w:rsid w:val="304146A5"/>
    <w:rsid w:val="304E43EE"/>
    <w:rsid w:val="30722EFB"/>
    <w:rsid w:val="3088397B"/>
    <w:rsid w:val="30BC1E37"/>
    <w:rsid w:val="311C6265"/>
    <w:rsid w:val="313666F5"/>
    <w:rsid w:val="314E18F1"/>
    <w:rsid w:val="317168C1"/>
    <w:rsid w:val="31903F88"/>
    <w:rsid w:val="31E80A90"/>
    <w:rsid w:val="32243CB5"/>
    <w:rsid w:val="32247BE6"/>
    <w:rsid w:val="326C33E5"/>
    <w:rsid w:val="32F970F5"/>
    <w:rsid w:val="34217016"/>
    <w:rsid w:val="344A049B"/>
    <w:rsid w:val="347831DE"/>
    <w:rsid w:val="34A8669C"/>
    <w:rsid w:val="350F5B39"/>
    <w:rsid w:val="3542359F"/>
    <w:rsid w:val="35715980"/>
    <w:rsid w:val="35991FA1"/>
    <w:rsid w:val="35D05C27"/>
    <w:rsid w:val="360F7F40"/>
    <w:rsid w:val="366A36E8"/>
    <w:rsid w:val="37FE537F"/>
    <w:rsid w:val="380A1A4F"/>
    <w:rsid w:val="381312B3"/>
    <w:rsid w:val="381713C1"/>
    <w:rsid w:val="38527B5A"/>
    <w:rsid w:val="38926CBD"/>
    <w:rsid w:val="38961971"/>
    <w:rsid w:val="38AF08B5"/>
    <w:rsid w:val="39515D96"/>
    <w:rsid w:val="39594040"/>
    <w:rsid w:val="3965313B"/>
    <w:rsid w:val="398268AC"/>
    <w:rsid w:val="39F743A2"/>
    <w:rsid w:val="3A4F2593"/>
    <w:rsid w:val="3B095931"/>
    <w:rsid w:val="3B677BD1"/>
    <w:rsid w:val="3CF75878"/>
    <w:rsid w:val="3D0E0250"/>
    <w:rsid w:val="3D497D6B"/>
    <w:rsid w:val="3D5D28A5"/>
    <w:rsid w:val="3D8E3DD6"/>
    <w:rsid w:val="3E631381"/>
    <w:rsid w:val="3EA169E6"/>
    <w:rsid w:val="3EF27F98"/>
    <w:rsid w:val="3F313892"/>
    <w:rsid w:val="3F4E4EEB"/>
    <w:rsid w:val="3F6A381A"/>
    <w:rsid w:val="3FAE3F57"/>
    <w:rsid w:val="3FCB15E3"/>
    <w:rsid w:val="401D4304"/>
    <w:rsid w:val="408F0AFA"/>
    <w:rsid w:val="40FB63B5"/>
    <w:rsid w:val="415E1D33"/>
    <w:rsid w:val="41792343"/>
    <w:rsid w:val="418C4C07"/>
    <w:rsid w:val="41D41319"/>
    <w:rsid w:val="421428EB"/>
    <w:rsid w:val="421F5007"/>
    <w:rsid w:val="4246200C"/>
    <w:rsid w:val="436408CC"/>
    <w:rsid w:val="43642093"/>
    <w:rsid w:val="43B16F9E"/>
    <w:rsid w:val="44161FF1"/>
    <w:rsid w:val="442B1041"/>
    <w:rsid w:val="44D40592"/>
    <w:rsid w:val="455B0BE8"/>
    <w:rsid w:val="459B12FC"/>
    <w:rsid w:val="45A25FDE"/>
    <w:rsid w:val="45CF6FEF"/>
    <w:rsid w:val="45EB689E"/>
    <w:rsid w:val="45F41A6E"/>
    <w:rsid w:val="46222D95"/>
    <w:rsid w:val="467B4E57"/>
    <w:rsid w:val="467B5D3A"/>
    <w:rsid w:val="46902919"/>
    <w:rsid w:val="470F5FD4"/>
    <w:rsid w:val="471C4D66"/>
    <w:rsid w:val="474A1E2D"/>
    <w:rsid w:val="47691071"/>
    <w:rsid w:val="49E54986"/>
    <w:rsid w:val="4A64117C"/>
    <w:rsid w:val="4A825DF7"/>
    <w:rsid w:val="4A9377B7"/>
    <w:rsid w:val="4A9B05A9"/>
    <w:rsid w:val="4ABC573D"/>
    <w:rsid w:val="4B8244EA"/>
    <w:rsid w:val="4BBA6814"/>
    <w:rsid w:val="4C2E74ED"/>
    <w:rsid w:val="4CB96FE8"/>
    <w:rsid w:val="4D2845B6"/>
    <w:rsid w:val="4D772620"/>
    <w:rsid w:val="4D785696"/>
    <w:rsid w:val="4DC4675B"/>
    <w:rsid w:val="4E1B1545"/>
    <w:rsid w:val="4E257888"/>
    <w:rsid w:val="4E395863"/>
    <w:rsid w:val="4E5110AD"/>
    <w:rsid w:val="4E6314B0"/>
    <w:rsid w:val="4E75445C"/>
    <w:rsid w:val="4E88235B"/>
    <w:rsid w:val="4F2655EB"/>
    <w:rsid w:val="4F3F0FC5"/>
    <w:rsid w:val="4F6C4D49"/>
    <w:rsid w:val="5011167D"/>
    <w:rsid w:val="50152B62"/>
    <w:rsid w:val="509021A9"/>
    <w:rsid w:val="510F49AB"/>
    <w:rsid w:val="51203D18"/>
    <w:rsid w:val="51230560"/>
    <w:rsid w:val="51652C8F"/>
    <w:rsid w:val="51D53255"/>
    <w:rsid w:val="523C15E2"/>
    <w:rsid w:val="52B34B72"/>
    <w:rsid w:val="52FF0648"/>
    <w:rsid w:val="5316356A"/>
    <w:rsid w:val="53A93F3E"/>
    <w:rsid w:val="53F13B05"/>
    <w:rsid w:val="53F47C4C"/>
    <w:rsid w:val="545A223D"/>
    <w:rsid w:val="545C2115"/>
    <w:rsid w:val="54684012"/>
    <w:rsid w:val="547C30D3"/>
    <w:rsid w:val="548236CB"/>
    <w:rsid w:val="54926A63"/>
    <w:rsid w:val="54BC6BD8"/>
    <w:rsid w:val="556B386F"/>
    <w:rsid w:val="55CE318F"/>
    <w:rsid w:val="56370A2A"/>
    <w:rsid w:val="56481EBA"/>
    <w:rsid w:val="565279A3"/>
    <w:rsid w:val="56706DEC"/>
    <w:rsid w:val="572F7119"/>
    <w:rsid w:val="573A665F"/>
    <w:rsid w:val="57CC2F03"/>
    <w:rsid w:val="58000601"/>
    <w:rsid w:val="58144544"/>
    <w:rsid w:val="58817598"/>
    <w:rsid w:val="59062ABF"/>
    <w:rsid w:val="594820F6"/>
    <w:rsid w:val="597A2AF4"/>
    <w:rsid w:val="59924B36"/>
    <w:rsid w:val="59C25C29"/>
    <w:rsid w:val="5A13107C"/>
    <w:rsid w:val="5A765110"/>
    <w:rsid w:val="5A934354"/>
    <w:rsid w:val="5A9E5450"/>
    <w:rsid w:val="5A9E63D2"/>
    <w:rsid w:val="5AD579D5"/>
    <w:rsid w:val="5AE23D8B"/>
    <w:rsid w:val="5B7B1CE1"/>
    <w:rsid w:val="5BC54EBD"/>
    <w:rsid w:val="5BF90726"/>
    <w:rsid w:val="5C8C2DB7"/>
    <w:rsid w:val="5CB70B8B"/>
    <w:rsid w:val="5D7421F7"/>
    <w:rsid w:val="5DDB75E5"/>
    <w:rsid w:val="5E0D46A2"/>
    <w:rsid w:val="5E1614EB"/>
    <w:rsid w:val="5E2A34C9"/>
    <w:rsid w:val="5E59547F"/>
    <w:rsid w:val="5F593573"/>
    <w:rsid w:val="5F5F7CC2"/>
    <w:rsid w:val="5F6B7FF9"/>
    <w:rsid w:val="5F6C08EF"/>
    <w:rsid w:val="5F830D4C"/>
    <w:rsid w:val="5FF7215C"/>
    <w:rsid w:val="600E2A32"/>
    <w:rsid w:val="60AF1486"/>
    <w:rsid w:val="61B820DA"/>
    <w:rsid w:val="61C032F6"/>
    <w:rsid w:val="61E02B58"/>
    <w:rsid w:val="620F17D6"/>
    <w:rsid w:val="62334E21"/>
    <w:rsid w:val="624B3A99"/>
    <w:rsid w:val="626C66E0"/>
    <w:rsid w:val="62E009FD"/>
    <w:rsid w:val="63105053"/>
    <w:rsid w:val="634D0519"/>
    <w:rsid w:val="63D759C6"/>
    <w:rsid w:val="64657D8E"/>
    <w:rsid w:val="647D482C"/>
    <w:rsid w:val="649D4B1A"/>
    <w:rsid w:val="6509385A"/>
    <w:rsid w:val="652629B2"/>
    <w:rsid w:val="656F0973"/>
    <w:rsid w:val="65E30F2D"/>
    <w:rsid w:val="660B7DA3"/>
    <w:rsid w:val="66707695"/>
    <w:rsid w:val="66A448C7"/>
    <w:rsid w:val="66F378E4"/>
    <w:rsid w:val="673E020C"/>
    <w:rsid w:val="6746070C"/>
    <w:rsid w:val="677D766F"/>
    <w:rsid w:val="684B5726"/>
    <w:rsid w:val="69C207FD"/>
    <w:rsid w:val="6A0A4F82"/>
    <w:rsid w:val="6A814DCB"/>
    <w:rsid w:val="6A8219B9"/>
    <w:rsid w:val="6AEB631A"/>
    <w:rsid w:val="6B087A1B"/>
    <w:rsid w:val="6B0A2326"/>
    <w:rsid w:val="6B507F44"/>
    <w:rsid w:val="6BF45BB6"/>
    <w:rsid w:val="6C9A1CA8"/>
    <w:rsid w:val="6C9A324D"/>
    <w:rsid w:val="6D0A59CF"/>
    <w:rsid w:val="6D2C542C"/>
    <w:rsid w:val="6D4364FA"/>
    <w:rsid w:val="6D776538"/>
    <w:rsid w:val="6DCC0D4E"/>
    <w:rsid w:val="6E1E6862"/>
    <w:rsid w:val="6EF64322"/>
    <w:rsid w:val="6F9E30AD"/>
    <w:rsid w:val="706E1A65"/>
    <w:rsid w:val="70813857"/>
    <w:rsid w:val="7256244B"/>
    <w:rsid w:val="72C566F5"/>
    <w:rsid w:val="72DE38E7"/>
    <w:rsid w:val="730075F6"/>
    <w:rsid w:val="73D70F8A"/>
    <w:rsid w:val="73FA59BB"/>
    <w:rsid w:val="744750A5"/>
    <w:rsid w:val="75AF3CBD"/>
    <w:rsid w:val="764500E7"/>
    <w:rsid w:val="768C5180"/>
    <w:rsid w:val="76AA09AF"/>
    <w:rsid w:val="76BA6676"/>
    <w:rsid w:val="77364257"/>
    <w:rsid w:val="776873B7"/>
    <w:rsid w:val="779A1138"/>
    <w:rsid w:val="77A64A61"/>
    <w:rsid w:val="78184B8D"/>
    <w:rsid w:val="788D6D70"/>
    <w:rsid w:val="796232BE"/>
    <w:rsid w:val="79F65ECE"/>
    <w:rsid w:val="7B1856CB"/>
    <w:rsid w:val="7B2A199D"/>
    <w:rsid w:val="7B631937"/>
    <w:rsid w:val="7C2A5D04"/>
    <w:rsid w:val="7C8E54B4"/>
    <w:rsid w:val="7C9549E8"/>
    <w:rsid w:val="7CEF0A3B"/>
    <w:rsid w:val="7D77768B"/>
    <w:rsid w:val="7DBF4EA3"/>
    <w:rsid w:val="7E6F010F"/>
    <w:rsid w:val="7E970604"/>
    <w:rsid w:val="7ED82B0F"/>
    <w:rsid w:val="7F1900DA"/>
    <w:rsid w:val="7F6C17BE"/>
    <w:rsid w:val="7FE634E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6"/>
    <w:qFormat/>
    <w:uiPriority w:val="0"/>
    <w:pPr>
      <w:keepNext/>
      <w:keepLines/>
      <w:adjustRightInd w:val="0"/>
      <w:spacing w:before="340" w:after="330" w:line="578" w:lineRule="auto"/>
      <w:textAlignment w:val="baseline"/>
      <w:outlineLvl w:val="0"/>
    </w:pPr>
    <w:rPr>
      <w:rFonts w:ascii="Century Gothic" w:hAnsi="Century Gothic" w:eastAsia="幼圆"/>
      <w:b/>
      <w:kern w:val="44"/>
      <w:sz w:val="44"/>
      <w:szCs w:val="20"/>
    </w:rPr>
  </w:style>
  <w:style w:type="paragraph" w:styleId="5">
    <w:name w:val="heading 3"/>
    <w:basedOn w:val="1"/>
    <w:next w:val="6"/>
    <w:link w:val="27"/>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before="280" w:after="290" w:line="372" w:lineRule="auto"/>
      <w:outlineLvl w:val="3"/>
    </w:pPr>
    <w:rPr>
      <w:rFonts w:ascii="Cambria" w:hAnsi="Cambria"/>
      <w:b/>
      <w:bCs/>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正文缩进1"/>
    <w:basedOn w:val="3"/>
    <w:next w:val="1"/>
    <w:qFormat/>
    <w:uiPriority w:val="0"/>
    <w:pPr>
      <w:ind w:firstLine="420" w:firstLineChars="200"/>
    </w:pPr>
  </w:style>
  <w:style w:type="paragraph" w:customStyle="1" w:styleId="3">
    <w:name w:val="msonormal"/>
    <w:basedOn w:val="1"/>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paragraph" w:styleId="6">
    <w:name w:val="Normal Indent"/>
    <w:basedOn w:val="1"/>
    <w:qFormat/>
    <w:uiPriority w:val="0"/>
    <w:pPr>
      <w:spacing w:line="300" w:lineRule="auto"/>
      <w:ind w:firstLine="420" w:firstLineChars="200"/>
    </w:pPr>
    <w:rPr>
      <w:szCs w:val="24"/>
    </w:rPr>
  </w:style>
  <w:style w:type="paragraph" w:styleId="8">
    <w:name w:val="Document Map"/>
    <w:basedOn w:val="1"/>
    <w:link w:val="28"/>
    <w:qFormat/>
    <w:uiPriority w:val="0"/>
    <w:pPr>
      <w:shd w:val="clear" w:color="auto" w:fill="000080"/>
      <w:adjustRightInd w:val="0"/>
      <w:spacing w:line="360" w:lineRule="atLeast"/>
      <w:textAlignment w:val="baseline"/>
    </w:pPr>
    <w:rPr>
      <w:rFonts w:ascii="Century Gothic" w:hAnsi="Century Gothic" w:eastAsia="幼圆"/>
      <w:szCs w:val="20"/>
    </w:rPr>
  </w:style>
  <w:style w:type="paragraph" w:styleId="9">
    <w:name w:val="annotation text"/>
    <w:basedOn w:val="1"/>
    <w:link w:val="29"/>
    <w:unhideWhenUsed/>
    <w:qFormat/>
    <w:uiPriority w:val="99"/>
    <w:pPr>
      <w:jc w:val="left"/>
    </w:pPr>
    <w:rPr>
      <w:rFonts w:ascii="等线" w:hAnsi="等线" w:eastAsia="等线" w:cs="Times New Roman"/>
      <w:szCs w:val="22"/>
    </w:rPr>
  </w:style>
  <w:style w:type="paragraph" w:styleId="10">
    <w:name w:val="Body Text"/>
    <w:basedOn w:val="1"/>
    <w:next w:val="1"/>
    <w:qFormat/>
    <w:uiPriority w:val="0"/>
    <w:pPr>
      <w:spacing w:line="0" w:lineRule="atLeast"/>
    </w:pPr>
    <w:rPr>
      <w:sz w:val="30"/>
    </w:rPr>
  </w:style>
  <w:style w:type="paragraph" w:styleId="11">
    <w:name w:val="Body Text Indent"/>
    <w:basedOn w:val="1"/>
    <w:qFormat/>
    <w:uiPriority w:val="0"/>
    <w:pPr>
      <w:spacing w:line="480" w:lineRule="exact"/>
      <w:ind w:firstLine="470" w:firstLineChars="196"/>
    </w:pPr>
    <w:rPr>
      <w:rFonts w:ascii="宋体" w:hAnsi="宋体"/>
      <w:sz w:val="24"/>
    </w:rPr>
  </w:style>
  <w:style w:type="paragraph" w:styleId="12">
    <w:name w:val="Plain Text"/>
    <w:basedOn w:val="1"/>
    <w:link w:val="30"/>
    <w:qFormat/>
    <w:uiPriority w:val="0"/>
    <w:pPr>
      <w:adjustRightInd w:val="0"/>
      <w:spacing w:line="360" w:lineRule="atLeast"/>
      <w:textAlignment w:val="baseline"/>
    </w:pPr>
    <w:rPr>
      <w:rFonts w:ascii="宋体" w:hAnsi="Courier New" w:eastAsia="幼圆"/>
      <w:szCs w:val="20"/>
    </w:rPr>
  </w:style>
  <w:style w:type="paragraph" w:styleId="13">
    <w:name w:val="Balloon Text"/>
    <w:basedOn w:val="1"/>
    <w:link w:val="31"/>
    <w:unhideWhenUsed/>
    <w:qFormat/>
    <w:uiPriority w:val="0"/>
    <w:rPr>
      <w:rFonts w:ascii="等线" w:hAnsi="等线" w:eastAsia="等线" w:cs="Times New Roman"/>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link w:val="3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Body Text Indent 3"/>
    <w:basedOn w:val="1"/>
    <w:link w:val="33"/>
    <w:qFormat/>
    <w:uiPriority w:val="0"/>
    <w:pPr>
      <w:adjustRightInd w:val="0"/>
      <w:spacing w:line="240" w:lineRule="atLeast"/>
      <w:ind w:firstLine="593" w:firstLineChars="200"/>
      <w:textAlignment w:val="baseline"/>
    </w:pPr>
    <w:rPr>
      <w:rFonts w:ascii="仿宋_GB2312" w:hAnsi="MS Outlook" w:eastAsia="仿宋_GB2312"/>
      <w:spacing w:val="-20"/>
      <w:sz w:val="32"/>
      <w:szCs w:val="20"/>
    </w:rPr>
  </w:style>
  <w:style w:type="paragraph" w:styleId="1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8">
    <w:name w:val="annotation subject"/>
    <w:basedOn w:val="9"/>
    <w:next w:val="9"/>
    <w:link w:val="34"/>
    <w:unhideWhenUsed/>
    <w:qFormat/>
    <w:uiPriority w:val="99"/>
    <w:rPr>
      <w:rFonts w:ascii="等线" w:hAnsi="等线" w:eastAsia="等线" w:cs="Times New Roman"/>
      <w:b/>
      <w:bCs/>
    </w:rPr>
  </w:style>
  <w:style w:type="table" w:styleId="20">
    <w:name w:val="Table Grid"/>
    <w:basedOn w:val="1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qFormat/>
    <w:uiPriority w:val="0"/>
  </w:style>
  <w:style w:type="character" w:styleId="23">
    <w:name w:val="FollowedHyperlink"/>
    <w:qFormat/>
    <w:uiPriority w:val="0"/>
    <w:rPr>
      <w:color w:val="800080"/>
      <w:u w:val="none"/>
    </w:rPr>
  </w:style>
  <w:style w:type="character" w:styleId="24">
    <w:name w:val="Hyperlink"/>
    <w:qFormat/>
    <w:uiPriority w:val="0"/>
    <w:rPr>
      <w:color w:val="0000FF"/>
      <w:u w:val="none"/>
    </w:rPr>
  </w:style>
  <w:style w:type="character" w:styleId="25">
    <w:name w:val="annotation reference"/>
    <w:unhideWhenUsed/>
    <w:qFormat/>
    <w:uiPriority w:val="99"/>
    <w:rPr>
      <w:sz w:val="21"/>
      <w:szCs w:val="21"/>
    </w:rPr>
  </w:style>
  <w:style w:type="character" w:customStyle="1" w:styleId="26">
    <w:name w:val="标题 1 Char"/>
    <w:link w:val="4"/>
    <w:qFormat/>
    <w:uiPriority w:val="0"/>
    <w:rPr>
      <w:rFonts w:ascii="Century Gothic" w:hAnsi="Century Gothic" w:eastAsia="幼圆"/>
      <w:b/>
      <w:kern w:val="44"/>
      <w:sz w:val="44"/>
    </w:rPr>
  </w:style>
  <w:style w:type="character" w:customStyle="1" w:styleId="27">
    <w:name w:val="标题 3 Char"/>
    <w:link w:val="5"/>
    <w:qFormat/>
    <w:uiPriority w:val="0"/>
    <w:rPr>
      <w:b/>
      <w:bCs/>
      <w:kern w:val="2"/>
      <w:sz w:val="32"/>
      <w:szCs w:val="32"/>
    </w:rPr>
  </w:style>
  <w:style w:type="character" w:customStyle="1" w:styleId="28">
    <w:name w:val="文档结构图 Char"/>
    <w:link w:val="8"/>
    <w:qFormat/>
    <w:uiPriority w:val="0"/>
    <w:rPr>
      <w:rFonts w:ascii="Century Gothic" w:hAnsi="Century Gothic" w:eastAsia="幼圆"/>
      <w:kern w:val="2"/>
      <w:sz w:val="21"/>
      <w:shd w:val="clear" w:color="auto" w:fill="000080"/>
    </w:rPr>
  </w:style>
  <w:style w:type="character" w:customStyle="1" w:styleId="29">
    <w:name w:val="批注文字 Char"/>
    <w:link w:val="9"/>
    <w:qFormat/>
    <w:uiPriority w:val="99"/>
    <w:rPr>
      <w:rFonts w:ascii="等线" w:hAnsi="等线" w:eastAsia="等线"/>
      <w:kern w:val="2"/>
      <w:sz w:val="21"/>
      <w:szCs w:val="22"/>
    </w:rPr>
  </w:style>
  <w:style w:type="character" w:customStyle="1" w:styleId="30">
    <w:name w:val="纯文本 Char"/>
    <w:link w:val="12"/>
    <w:qFormat/>
    <w:uiPriority w:val="0"/>
    <w:rPr>
      <w:rFonts w:ascii="宋体" w:hAnsi="Courier New" w:eastAsia="幼圆"/>
      <w:kern w:val="2"/>
      <w:sz w:val="21"/>
    </w:rPr>
  </w:style>
  <w:style w:type="character" w:customStyle="1" w:styleId="31">
    <w:name w:val="批注框文本 Char"/>
    <w:link w:val="13"/>
    <w:qFormat/>
    <w:uiPriority w:val="99"/>
    <w:rPr>
      <w:rFonts w:ascii="等线" w:hAnsi="等线" w:eastAsia="等线"/>
      <w:kern w:val="2"/>
      <w:sz w:val="18"/>
      <w:szCs w:val="18"/>
    </w:rPr>
  </w:style>
  <w:style w:type="character" w:customStyle="1" w:styleId="32">
    <w:name w:val="页眉 Char"/>
    <w:link w:val="15"/>
    <w:qFormat/>
    <w:uiPriority w:val="0"/>
    <w:rPr>
      <w:kern w:val="2"/>
      <w:sz w:val="18"/>
      <w:szCs w:val="24"/>
    </w:rPr>
  </w:style>
  <w:style w:type="character" w:customStyle="1" w:styleId="33">
    <w:name w:val="正文文本缩进 3 Char"/>
    <w:link w:val="16"/>
    <w:qFormat/>
    <w:uiPriority w:val="0"/>
    <w:rPr>
      <w:rFonts w:ascii="仿宋_GB2312" w:hAnsi="MS Outlook" w:eastAsia="仿宋_GB2312"/>
      <w:spacing w:val="-20"/>
      <w:kern w:val="2"/>
      <w:sz w:val="32"/>
    </w:rPr>
  </w:style>
  <w:style w:type="character" w:customStyle="1" w:styleId="34">
    <w:name w:val="批注主题 Char"/>
    <w:link w:val="18"/>
    <w:qFormat/>
    <w:uiPriority w:val="99"/>
    <w:rPr>
      <w:rFonts w:ascii="等线" w:hAnsi="等线" w:eastAsia="等线"/>
      <w:b/>
      <w:bCs/>
      <w:kern w:val="2"/>
      <w:sz w:val="21"/>
      <w:szCs w:val="22"/>
    </w:rPr>
  </w:style>
  <w:style w:type="character" w:customStyle="1" w:styleId="35">
    <w:name w:val="font31"/>
    <w:qFormat/>
    <w:uiPriority w:val="0"/>
    <w:rPr>
      <w:rFonts w:hint="default" w:ascii="Times New Roman" w:hAnsi="Times New Roman" w:cs="Times New Roman"/>
      <w:color w:val="000000"/>
      <w:sz w:val="28"/>
      <w:szCs w:val="28"/>
      <w:u w:val="none"/>
    </w:rPr>
  </w:style>
  <w:style w:type="character" w:customStyle="1" w:styleId="36">
    <w:name w:val="font11"/>
    <w:basedOn w:val="21"/>
    <w:qFormat/>
    <w:uiPriority w:val="0"/>
    <w:rPr>
      <w:rFonts w:hint="default" w:ascii="Times New Roman" w:hAnsi="Times New Roman" w:cs="Times New Roman"/>
      <w:color w:val="000000"/>
      <w:sz w:val="28"/>
      <w:szCs w:val="28"/>
      <w:u w:val="none"/>
    </w:rPr>
  </w:style>
  <w:style w:type="character" w:customStyle="1" w:styleId="37">
    <w:name w:val="font51"/>
    <w:basedOn w:val="21"/>
    <w:qFormat/>
    <w:uiPriority w:val="0"/>
    <w:rPr>
      <w:rFonts w:hint="eastAsia" w:ascii="仿宋" w:hAnsi="仿宋" w:eastAsia="仿宋" w:cs="仿宋"/>
      <w:color w:val="000000"/>
      <w:sz w:val="20"/>
      <w:szCs w:val="20"/>
      <w:u w:val="none"/>
    </w:rPr>
  </w:style>
  <w:style w:type="character" w:customStyle="1" w:styleId="38">
    <w:name w:val="font91"/>
    <w:qFormat/>
    <w:uiPriority w:val="0"/>
    <w:rPr>
      <w:rFonts w:ascii="Arial" w:hAnsi="Arial" w:cs="Arial"/>
      <w:color w:val="000000"/>
      <w:sz w:val="24"/>
      <w:szCs w:val="24"/>
      <w:u w:val="none"/>
    </w:rPr>
  </w:style>
  <w:style w:type="character" w:customStyle="1" w:styleId="39">
    <w:name w:val="批注文字 字符"/>
    <w:qFormat/>
    <w:uiPriority w:val="99"/>
    <w:rPr>
      <w:rFonts w:ascii="等线" w:hAnsi="等线" w:eastAsia="等线"/>
      <w:kern w:val="2"/>
      <w:sz w:val="21"/>
      <w:szCs w:val="22"/>
    </w:rPr>
  </w:style>
  <w:style w:type="character" w:customStyle="1" w:styleId="40">
    <w:name w:val="font41"/>
    <w:qFormat/>
    <w:uiPriority w:val="0"/>
    <w:rPr>
      <w:rFonts w:hint="eastAsia" w:ascii="仿宋" w:hAnsi="仿宋" w:eastAsia="仿宋" w:cs="仿宋"/>
      <w:color w:val="000000"/>
      <w:sz w:val="24"/>
      <w:szCs w:val="24"/>
      <w:u w:val="none"/>
    </w:rPr>
  </w:style>
  <w:style w:type="character" w:customStyle="1" w:styleId="41">
    <w:name w:val="font21"/>
    <w:qFormat/>
    <w:uiPriority w:val="0"/>
    <w:rPr>
      <w:rFonts w:hint="eastAsia" w:ascii="宋体" w:hAnsi="宋体" w:eastAsia="宋体" w:cs="宋体"/>
      <w:color w:val="000000"/>
      <w:sz w:val="28"/>
      <w:szCs w:val="28"/>
      <w:u w:val="none"/>
    </w:rPr>
  </w:style>
  <w:style w:type="character" w:customStyle="1" w:styleId="42">
    <w:name w:val="font01"/>
    <w:qFormat/>
    <w:uiPriority w:val="0"/>
    <w:rPr>
      <w:rFonts w:hint="eastAsia" w:ascii="宋体" w:hAnsi="宋体" w:eastAsia="宋体" w:cs="宋体"/>
      <w:color w:val="000000"/>
      <w:sz w:val="28"/>
      <w:szCs w:val="28"/>
      <w:u w:val="none"/>
    </w:rPr>
  </w:style>
  <w:style w:type="character" w:customStyle="1" w:styleId="43">
    <w:name w:val="font81"/>
    <w:qFormat/>
    <w:uiPriority w:val="0"/>
    <w:rPr>
      <w:rFonts w:hint="eastAsia" w:ascii="宋体" w:hAnsi="宋体" w:eastAsia="宋体" w:cs="宋体"/>
      <w:color w:val="000000"/>
      <w:sz w:val="24"/>
      <w:szCs w:val="24"/>
      <w:u w:val="none"/>
    </w:rPr>
  </w:style>
  <w:style w:type="character" w:customStyle="1" w:styleId="44">
    <w:name w:val="font71"/>
    <w:basedOn w:val="21"/>
    <w:qFormat/>
    <w:uiPriority w:val="0"/>
    <w:rPr>
      <w:rFonts w:hint="default" w:ascii="Arial" w:hAnsi="Arial" w:cs="Arial"/>
      <w:color w:val="000000"/>
      <w:sz w:val="20"/>
      <w:szCs w:val="20"/>
      <w:u w:val="none"/>
    </w:rPr>
  </w:style>
  <w:style w:type="character" w:customStyle="1" w:styleId="45">
    <w:name w:val="page number"/>
    <w:basedOn w:val="21"/>
    <w:qFormat/>
    <w:uiPriority w:val="0"/>
  </w:style>
  <w:style w:type="paragraph" w:customStyle="1" w:styleId="46">
    <w:name w:val="无间隔1"/>
    <w:qFormat/>
    <w:uiPriority w:val="1"/>
    <w:rPr>
      <w:rFonts w:ascii="宋体" w:hAnsi="宋体" w:eastAsia="宋体" w:cs="宋体"/>
      <w:sz w:val="24"/>
      <w:szCs w:val="24"/>
      <w:lang w:val="en-US" w:eastAsia="zh-CN" w:bidi="ar-SA"/>
    </w:rPr>
  </w:style>
  <w:style w:type="paragraph" w:customStyle="1" w:styleId="47">
    <w:name w:val="Default"/>
    <w:unhideWhenUsed/>
    <w:qFormat/>
    <w:uiPriority w:val="99"/>
    <w:pPr>
      <w:widowControl w:val="0"/>
      <w:autoSpaceDE w:val="0"/>
      <w:autoSpaceDN w:val="0"/>
      <w:adjustRightInd w:val="0"/>
    </w:pPr>
    <w:rPr>
      <w:rFonts w:hint="eastAsia" w:ascii="黑体fal" w:hAnsi="Times New Roman" w:eastAsia="黑体fal" w:cs="Times New Roman"/>
      <w:color w:val="000000"/>
      <w:sz w:val="24"/>
      <w:lang w:val="en-US" w:eastAsia="zh-CN" w:bidi="ar-SA"/>
    </w:rPr>
  </w:style>
  <w:style w:type="paragraph" w:customStyle="1" w:styleId="48">
    <w:name w:val="È±Ê¡ÎÄ±¾:1"/>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49">
    <w:name w:val="缺省文本"/>
    <w:basedOn w:val="1"/>
    <w:qFormat/>
    <w:uiPriority w:val="0"/>
    <w:pPr>
      <w:autoSpaceDE w:val="0"/>
      <w:autoSpaceDN w:val="0"/>
      <w:adjustRightInd w:val="0"/>
      <w:jc w:val="left"/>
    </w:pPr>
    <w:rPr>
      <w:kern w:val="0"/>
      <w:sz w:val="24"/>
    </w:rPr>
  </w:style>
  <w:style w:type="paragraph" w:customStyle="1" w:styleId="50">
    <w:name w:val="正文文本4"/>
    <w:basedOn w:val="1"/>
    <w:qFormat/>
    <w:uiPriority w:val="0"/>
    <w:pPr>
      <w:shd w:val="clear" w:color="auto" w:fill="FFFFFF"/>
      <w:spacing w:before="660" w:line="420" w:lineRule="exact"/>
      <w:ind w:hanging="720"/>
      <w:jc w:val="distribute"/>
    </w:pPr>
    <w:rPr>
      <w:rFonts w:ascii="MingLiU" w:hAnsi="MingLiU" w:eastAsia="MingLiU"/>
      <w:kern w:val="0"/>
      <w:sz w:val="19"/>
      <w:szCs w:val="19"/>
    </w:rPr>
  </w:style>
  <w:style w:type="paragraph" w:customStyle="1" w:styleId="51">
    <w:name w:val="Other|1"/>
    <w:basedOn w:val="1"/>
    <w:qFormat/>
    <w:uiPriority w:val="0"/>
    <w:pPr>
      <w:widowControl w:val="0"/>
      <w:shd w:val="clear" w:color="auto" w:fill="auto"/>
      <w:spacing w:line="360" w:lineRule="auto"/>
      <w:ind w:firstLine="400"/>
    </w:pPr>
    <w:rPr>
      <w:rFonts w:ascii="宋体" w:hAnsi="宋体" w:eastAsia="宋体" w:cs="宋体"/>
      <w:sz w:val="26"/>
      <w:szCs w:val="26"/>
      <w:u w:val="none"/>
      <w:shd w:val="clear" w:color="auto" w:fill="auto"/>
      <w:lang w:val="zh-TW" w:eastAsia="zh-TW" w:bidi="zh-TW"/>
    </w:rPr>
  </w:style>
  <w:style w:type="paragraph" w:styleId="52">
    <w:name w:val="List Paragraph"/>
    <w:basedOn w:val="1"/>
    <w:qFormat/>
    <w:uiPriority w:val="34"/>
    <w:pPr>
      <w:ind w:firstLine="420" w:firstLineChars="200"/>
    </w:pPr>
    <w:rPr>
      <w:szCs w:val="20"/>
    </w:rPr>
  </w:style>
  <w:style w:type="paragraph" w:customStyle="1" w:styleId="53">
    <w:name w:val="Heading #1|1"/>
    <w:basedOn w:val="1"/>
    <w:qFormat/>
    <w:uiPriority w:val="0"/>
    <w:pPr>
      <w:widowControl w:val="0"/>
      <w:shd w:val="clear" w:color="auto" w:fill="auto"/>
      <w:spacing w:after="420" w:line="525" w:lineRule="exact"/>
      <w:ind w:right="290"/>
      <w:jc w:val="center"/>
      <w:outlineLvl w:val="0"/>
    </w:pPr>
    <w:rPr>
      <w:rFonts w:ascii="宋体" w:hAnsi="宋体" w:eastAsia="宋体" w:cs="宋体"/>
      <w:sz w:val="36"/>
      <w:szCs w:val="36"/>
      <w:u w:val="none"/>
      <w:shd w:val="clear" w:color="auto" w:fill="auto"/>
      <w:lang w:val="zh-TW" w:eastAsia="zh-TW" w:bidi="zh-TW"/>
    </w:rPr>
  </w:style>
  <w:style w:type="paragraph" w:customStyle="1" w:styleId="54">
    <w:name w:val="Body text|1"/>
    <w:basedOn w:val="1"/>
    <w:qFormat/>
    <w:uiPriority w:val="0"/>
    <w:pPr>
      <w:widowControl w:val="0"/>
      <w:shd w:val="clear" w:color="auto" w:fill="auto"/>
      <w:spacing w:line="360" w:lineRule="auto"/>
      <w:ind w:firstLine="400"/>
    </w:pPr>
    <w:rPr>
      <w:rFonts w:ascii="宋体" w:hAnsi="宋体" w:eastAsia="宋体" w:cs="宋体"/>
      <w:sz w:val="26"/>
      <w:szCs w:val="26"/>
      <w:u w:val="none"/>
      <w:shd w:val="clear" w:color="auto" w:fill="auto"/>
      <w:lang w:val="zh-TW" w:eastAsia="zh-TW" w:bidi="zh-TW"/>
    </w:rPr>
  </w:style>
  <w:style w:type="paragraph" w:customStyle="1" w:styleId="55">
    <w:name w:val="中文正文、"/>
    <w:basedOn w:val="1"/>
    <w:qFormat/>
    <w:uiPriority w:val="0"/>
    <w:pPr>
      <w:spacing w:line="360" w:lineRule="auto"/>
      <w:ind w:firstLine="420" w:firstLineChars="200"/>
      <w:jc w:val="left"/>
    </w:pPr>
    <w:rPr>
      <w:kern w:val="0"/>
      <w:sz w:val="20"/>
      <w:szCs w:val="20"/>
    </w:rPr>
  </w:style>
  <w:style w:type="paragraph" w:customStyle="1" w:styleId="56">
    <w:name w:val="样式 正文部分 + 左侧:  0.37 厘米 右侧:  0.37 厘米"/>
    <w:basedOn w:val="57"/>
    <w:qFormat/>
    <w:uiPriority w:val="0"/>
    <w:pPr>
      <w:ind w:left="100" w:leftChars="100" w:right="210" w:rightChars="100"/>
    </w:pPr>
  </w:style>
  <w:style w:type="paragraph" w:customStyle="1" w:styleId="57">
    <w:name w:val="正文部分"/>
    <w:basedOn w:val="12"/>
    <w:qFormat/>
    <w:uiPriority w:val="0"/>
    <w:pPr>
      <w:spacing w:before="120" w:after="120" w:line="360" w:lineRule="auto"/>
    </w:pPr>
    <w:rPr>
      <w:rFonts w:hAnsi="宋体"/>
      <w:sz w:val="24"/>
      <w:szCs w:val="20"/>
    </w:rPr>
  </w:style>
  <w:style w:type="paragraph" w:customStyle="1" w:styleId="58">
    <w:name w:val="样式1"/>
    <w:basedOn w:val="1"/>
    <w:qFormat/>
    <w:uiPriority w:val="0"/>
    <w:pPr>
      <w:adjustRightInd w:val="0"/>
      <w:spacing w:line="420" w:lineRule="auto"/>
      <w:jc w:val="center"/>
      <w:textAlignment w:val="baseline"/>
    </w:pPr>
    <w:rPr>
      <w:rFonts w:ascii="宋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5639</Words>
  <Characters>6515</Characters>
  <Lines>135</Lines>
  <Paragraphs>38</Paragraphs>
  <TotalTime>0</TotalTime>
  <ScaleCrop>false</ScaleCrop>
  <LinksUpToDate>false</LinksUpToDate>
  <CharactersWithSpaces>7183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2020-07-01T07:19:00Z</dcterms:created>
  <dc:creator>Lenovo</dc:creator>
  <cp:lastModifiedBy>无关风月</cp:lastModifiedBy>
  <cp:lastPrinted>2023-04-16T01:07:00Z</cp:lastPrinted>
  <dcterms:modified xsi:type="dcterms:W3CDTF">2023-09-15T03:15:42Z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commondata">
    <vt:lpwstr>eyJoZGlkIjoiZGZjZmY1ODY5YzJjZTRhNTAwN2Y3YmY0MDU0Zjc2MWMifQ==</vt:lpwstr>
  </property>
  <property fmtid="{D5CDD505-2E9C-101B-9397-08002B2CF9AE}" pid="4" name="ICV">
    <vt:lpwstr>8802D606E71E4ADA990FEB13B2D05E11_13</vt:lpwstr>
  </property>
</Properties>
</file>