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咸阳市热力公司利用热电联产热网新建及改建项目二期工程换热站、安定路及胜利路、清泰街、渭阳东路、永绥街、友谊路过滤器、防止器、阀门采购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9"/>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八</w:t>
      </w:r>
      <w:r>
        <w:rPr>
          <w:rFonts w:hint="eastAsia" w:ascii="宋体" w:hAnsi="宋体" w:eastAsia="宋体" w:cs="宋体"/>
          <w:b/>
          <w:bCs/>
          <w:sz w:val="44"/>
          <w:szCs w:val="44"/>
          <w:highlight w:val="none"/>
          <w:lang w:eastAsia="zh-CN"/>
        </w:rPr>
        <w:t>月</w:t>
      </w:r>
    </w:p>
    <w:p>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咸阳市热力公司利用热电联产热网新建及改建项目二</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期工程换热站、安定路及胜利路、清泰街、渭阳东路、永绥街、友谊路过滤器、防止器、阀门采购报价要求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我公司拟对咸阳市热力公司利用热电联产热</w:t>
      </w:r>
      <w:r>
        <w:rPr>
          <w:rFonts w:hint="eastAsia" w:ascii="宋体" w:hAnsi="宋体" w:eastAsia="宋体" w:cs="宋体"/>
          <w:sz w:val="24"/>
          <w:szCs w:val="24"/>
          <w:lang w:val="en-US" w:eastAsia="zh-CN"/>
        </w:rPr>
        <w:t>网新建及改建项目二期工程换热站、安定路及胜利路、清泰街、渭阳东路、永绥街、友谊路过滤器、防止器、阀门采购</w:t>
      </w:r>
      <w:r>
        <w:rPr>
          <w:rFonts w:hint="eastAsia" w:ascii="宋体" w:hAnsi="宋体" w:cs="宋体"/>
          <w:sz w:val="24"/>
          <w:szCs w:val="24"/>
          <w:lang w:val="en-US" w:eastAsia="zh-CN"/>
        </w:rPr>
        <w:t>进行比价洽谈，特邀请贵公司参与洽谈。该项目具体情况如下：</w:t>
      </w:r>
    </w:p>
    <w:p>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cs="宋体"/>
          <w:sz w:val="24"/>
          <w:szCs w:val="24"/>
          <w:lang w:val="en-US" w:eastAsia="zh-CN"/>
        </w:rPr>
        <w:t>咸阳市热力公司利用热电联产热网新建及改建项目二期工程</w:t>
      </w:r>
    </w:p>
    <w:p>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8"/>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23"/>
        <w:gridCol w:w="3609"/>
        <w:gridCol w:w="934"/>
        <w:gridCol w:w="90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cs="宋体"/>
                <w:b/>
                <w:bCs/>
                <w:i w:val="0"/>
                <w:iCs w:val="0"/>
                <w:color w:val="auto"/>
                <w:kern w:val="0"/>
                <w:sz w:val="20"/>
                <w:szCs w:val="20"/>
                <w:u w:val="none"/>
                <w:lang w:val="en-US" w:eastAsia="zh-CN" w:bidi="ar"/>
              </w:rPr>
              <w:t>物资</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名称</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规格型号</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数量</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Y型过滤器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SY4P-10</w:t>
            </w:r>
            <w:r>
              <w:rPr>
                <w:rFonts w:hint="eastAsia" w:ascii="宋体" w:hAnsi="宋体" w:eastAsia="宋体" w:cs="宋体"/>
                <w:i w:val="0"/>
                <w:iCs w:val="0"/>
                <w:color w:val="auto"/>
                <w:kern w:val="0"/>
                <w:sz w:val="20"/>
                <w:szCs w:val="20"/>
                <w:u w:val="none"/>
                <w:lang w:val="en-US" w:eastAsia="zh-CN" w:bidi="ar"/>
              </w:rPr>
              <w:t xml:space="preserve">型 </w:t>
            </w:r>
            <w:r>
              <w:rPr>
                <w:rFonts w:hint="default" w:ascii="宋体" w:hAnsi="宋体" w:eastAsia="宋体" w:cs="宋体"/>
                <w:i w:val="0"/>
                <w:iCs w:val="0"/>
                <w:color w:val="auto"/>
                <w:kern w:val="0"/>
                <w:sz w:val="20"/>
                <w:szCs w:val="20"/>
                <w:u w:val="none"/>
                <w:lang w:val="en-US" w:eastAsia="zh-CN" w:bidi="ar"/>
              </w:rPr>
              <w:t>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Y型过滤器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 SY4P-10型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Y型过滤器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DN32 SY4P-10型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Y型过滤器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DN50 SY4P-10型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5</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Y型过滤器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 SY4P-10型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倒流防止器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 LHS743X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7</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倒流防止器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 LHS743X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8</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倒流防止器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DN32 LHS743X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倒流防止器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LHS743X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倒流防止器</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 LHS743X Pg=1.0mPa</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11</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12</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38</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13</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DN32</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14</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DN40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15</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82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16</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60</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17</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闸阀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DN80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Z41X—10</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Z41X</w:t>
            </w:r>
            <w:r>
              <w:rPr>
                <w:rFonts w:hint="eastAsia" w:ascii="宋体" w:hAnsi="宋体" w:cs="宋体"/>
                <w:i w:val="0"/>
                <w:iCs w:val="0"/>
                <w:color w:val="auto"/>
                <w:kern w:val="0"/>
                <w:sz w:val="20"/>
                <w:szCs w:val="20"/>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18</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19</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DN80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20</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21</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DN125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25</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22</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23</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24</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25</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D343H-16C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26</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27</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DN80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28</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17</w:t>
            </w:r>
          </w:p>
        </w:tc>
        <w:tc>
          <w:tcPr>
            <w:tcW w:w="2115"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29</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DN125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30</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17</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31</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32</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钢制蝶阀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D343H-25C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33</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34</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35</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36</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DN50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18</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37</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DN75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38</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球阀</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Q41H-25C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39</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Q61F-25C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40</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DN80 Q61F-25C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41</w:t>
            </w:r>
          </w:p>
        </w:tc>
        <w:tc>
          <w:tcPr>
            <w:tcW w:w="1423"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DN100 Q61F-25C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42</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DN125 Q61F-25C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43</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DN150 Q61F-25C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44</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DN200 Q67F-25C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45</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DN250 Q367F-25C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46</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DN300 Q367F-25C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47</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DN350 Q367F-25C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48</w:t>
            </w:r>
          </w:p>
        </w:tc>
        <w:tc>
          <w:tcPr>
            <w:tcW w:w="1423"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3609"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Q367F-25C</w:t>
            </w:r>
          </w:p>
        </w:tc>
        <w:tc>
          <w:tcPr>
            <w:tcW w:w="934"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907"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2115"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GB</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T</w:t>
            </w:r>
            <w:r>
              <w:rPr>
                <w:rFonts w:hint="eastAsia" w:ascii="宋体" w:hAnsi="宋体" w:eastAsia="宋体" w:cs="宋体"/>
                <w:i w:val="0"/>
                <w:iCs w:val="0"/>
                <w:color w:val="auto"/>
                <w:kern w:val="0"/>
                <w:sz w:val="20"/>
                <w:szCs w:val="20"/>
                <w:u w:val="none"/>
                <w:lang w:val="en-US" w:eastAsia="zh-CN" w:bidi="ar"/>
              </w:rPr>
              <w:t>13927</w:t>
            </w: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注：1.</w:t>
      </w:r>
      <w:r>
        <w:rPr>
          <w:rFonts w:hint="eastAsia" w:cs="宋体"/>
          <w:sz w:val="24"/>
          <w:szCs w:val="24"/>
          <w:lang w:val="en-US" w:eastAsia="zh-CN"/>
        </w:rPr>
        <w:t>物资</w:t>
      </w:r>
      <w:r>
        <w:rPr>
          <w:rFonts w:hint="eastAsia" w:ascii="宋体" w:hAnsi="宋体" w:eastAsia="宋体" w:cs="宋体"/>
          <w:sz w:val="24"/>
          <w:szCs w:val="24"/>
          <w:lang w:val="en-US" w:eastAsia="zh-CN"/>
        </w:rPr>
        <w:t>运输</w:t>
      </w: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咸阳市热力公司利用热电联产热网新建及改建项目二期工程项目各个甲方指定</w:t>
      </w:r>
      <w:r>
        <w:rPr>
          <w:rFonts w:hint="eastAsia" w:cs="宋体"/>
          <w:sz w:val="24"/>
          <w:szCs w:val="24"/>
          <w:lang w:val="en-US" w:eastAsia="zh-CN"/>
        </w:rPr>
        <w:t>现场</w:t>
      </w:r>
      <w:r>
        <w:rPr>
          <w:rFonts w:hint="eastAsia" w:ascii="宋体" w:hAnsi="宋体" w:eastAsia="宋体" w:cs="宋体"/>
          <w:sz w:val="24"/>
          <w:szCs w:val="24"/>
          <w:lang w:val="en-US" w:eastAsia="zh-CN"/>
        </w:rPr>
        <w:t>地点</w:t>
      </w:r>
      <w:r>
        <w:rPr>
          <w:rFonts w:hint="eastAsia" w:ascii="宋体" w:hAnsi="宋体" w:eastAsia="宋体" w:cs="宋体"/>
          <w:sz w:val="24"/>
          <w:szCs w:val="24"/>
          <w:u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2.供货周期：接买方订单计划后</w:t>
      </w:r>
      <w:r>
        <w:rPr>
          <w:rFonts w:hint="eastAsia" w:cs="宋体"/>
          <w:sz w:val="24"/>
          <w:szCs w:val="24"/>
          <w:highlight w:val="none"/>
          <w:lang w:val="en-US" w:eastAsia="zh-CN"/>
        </w:rPr>
        <w:t>15</w:t>
      </w:r>
      <w:r>
        <w:rPr>
          <w:rFonts w:hint="eastAsia" w:ascii="宋体" w:hAnsi="宋体" w:eastAsia="宋体" w:cs="宋体"/>
          <w:sz w:val="24"/>
          <w:szCs w:val="24"/>
          <w:highlight w:val="none"/>
          <w:lang w:eastAsia="zh-CN"/>
        </w:rPr>
        <w:t>日内送达。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3.随车提供合格证、检验报告、厂家资料。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阀门设备铭牌处需标明对应的项目名称、规格型号、出厂日期、制造厂单位等。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技术要求：</w:t>
      </w:r>
      <w:r>
        <w:rPr>
          <w:rFonts w:hint="eastAsia" w:ascii="宋体" w:hAnsi="宋体" w:cs="宋体"/>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全通焊接球阀（双向密封）采用全焊接软密封球阀，焊接连接，DN200以下（含DN200）时手动，DN200以上时涡轮传动。阀门应满足GB/T13927的规定，阀门最大允许泄漏量不低于A级标准。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蝶阀采用D343H型。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闸阀采用</w:t>
      </w:r>
      <w:r>
        <w:rPr>
          <w:rFonts w:hint="default" w:ascii="宋体" w:hAnsi="宋体" w:eastAsia="宋体" w:cs="宋体"/>
          <w:kern w:val="0"/>
          <w:sz w:val="24"/>
          <w:szCs w:val="24"/>
          <w:lang w:val="en-US" w:eastAsia="zh-CN" w:bidi="ar-SA"/>
        </w:rPr>
        <w:t>Z41X</w:t>
      </w:r>
      <w:r>
        <w:rPr>
          <w:rFonts w:hint="eastAsia" w:ascii="宋体" w:hAnsi="宋体" w:eastAsia="宋体" w:cs="宋体"/>
          <w:kern w:val="0"/>
          <w:sz w:val="24"/>
          <w:szCs w:val="24"/>
          <w:lang w:val="en-US" w:eastAsia="zh-CN" w:bidi="ar-SA"/>
        </w:rPr>
        <w:t>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球阀采用</w:t>
      </w:r>
      <w:r>
        <w:rPr>
          <w:rFonts w:hint="default" w:ascii="宋体" w:hAnsi="宋体" w:eastAsia="宋体" w:cs="宋体"/>
          <w:kern w:val="0"/>
          <w:sz w:val="24"/>
          <w:szCs w:val="24"/>
          <w:lang w:val="en-US" w:eastAsia="zh-CN" w:bidi="ar-SA"/>
        </w:rPr>
        <w:t>Q41H-25C</w:t>
      </w:r>
      <w:r>
        <w:rPr>
          <w:rFonts w:hint="eastAsia" w:ascii="宋体" w:hAnsi="宋体" w:eastAsia="宋体" w:cs="宋体"/>
          <w:kern w:val="0"/>
          <w:sz w:val="24"/>
          <w:szCs w:val="24"/>
          <w:lang w:val="en-US" w:eastAsia="zh-CN" w:bidi="ar-SA"/>
        </w:rPr>
        <w:t>型，满足GB/T37827的规定。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Y型过滤器采用SY4P-10型。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倒流防止器采用LHS743X型。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所有阀门要求随机附带出厂试验报告及试验记录（强度试验和严密性试验）。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具体参数及技术要求详见图纸。</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个，总计金额不低于</w:t>
      </w:r>
      <w:r>
        <w:rPr>
          <w:rFonts w:hint="eastAsia" w:ascii="宋体" w:hAnsi="宋体" w:cs="宋体"/>
          <w:sz w:val="24"/>
          <w:szCs w:val="24"/>
          <w:highlight w:val="none"/>
          <w:lang w:val="en-US" w:eastAsia="zh-CN"/>
        </w:rPr>
        <w:t>150</w:t>
      </w:r>
      <w:r>
        <w:rPr>
          <w:rFonts w:hint="eastAsia" w:ascii="宋体" w:hAnsi="宋体" w:eastAsia="宋体" w:cs="宋体"/>
          <w:sz w:val="24"/>
          <w:szCs w:val="24"/>
          <w:highlight w:val="none"/>
          <w:lang w:eastAsia="zh-CN"/>
        </w:rPr>
        <w:t>万。</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本项目物资采购</w:t>
      </w:r>
      <w:r>
        <w:rPr>
          <w:rFonts w:hint="eastAsia" w:ascii="宋体" w:hAnsi="宋体" w:eastAsia="宋体" w:cs="宋体"/>
          <w:sz w:val="24"/>
          <w:szCs w:val="24"/>
          <w:lang w:val="en-US" w:eastAsia="zh-CN"/>
        </w:rPr>
        <w:t>，各报价单位根据物资清单及注意事项进行各项报价。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.投标报价均包括但不限于材料费、吊装费、仓储保管费、运输费、税费、日常维护基本常识培训、质保期维修，利润等一切相关费用，以及报价人在报价前明示或暗示的所有风险、责任和义务。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.报价实行固定总价。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.开具13%增值税专用发票。</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产品交付经买方验收合格，卖方按照收货数量向买方出具全额增值税专用发票后20个工作日内，买方支付验收合格产品货款的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%。产品投入使用后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日无任何质量问题，买方支付货款至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eastAsia="zh-CN"/>
        </w:rPr>
        <w:t>%作为质保金，产品质量保证期限届满后</w:t>
      </w:r>
      <w:r>
        <w:rPr>
          <w:rFonts w:hint="eastAsia" w:ascii="宋体" w:hAnsi="宋体" w:eastAsia="宋体" w:cs="宋体"/>
          <w:sz w:val="24"/>
          <w:szCs w:val="24"/>
          <w:highlight w:val="none"/>
          <w:lang w:val="en-US" w:eastAsia="zh-CN"/>
        </w:rPr>
        <w:t>1年</w:t>
      </w:r>
      <w:r>
        <w:rPr>
          <w:rFonts w:hint="eastAsia" w:ascii="宋体" w:hAnsi="宋体" w:eastAsia="宋体" w:cs="宋体"/>
          <w:sz w:val="24"/>
          <w:szCs w:val="24"/>
          <w:highlight w:val="none"/>
          <w:lang w:eastAsia="zh-CN"/>
        </w:rPr>
        <w:t>，如未发生质量问题，买方一次性无息付清质保金。</w:t>
      </w:r>
    </w:p>
    <w:p>
      <w:pPr>
        <w:pStyle w:val="50"/>
        <w:widowControl w:val="0"/>
        <w:shd w:val="clear" w:color="auto" w:fill="auto"/>
        <w:spacing w:before="0" w:after="0"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供货期限：自签订合同之日起，接买方订单计划后</w:t>
      </w:r>
      <w:r>
        <w:rPr>
          <w:rFonts w:hint="eastAsia" w:ascii="宋体" w:hAnsi="宋体" w:eastAsia="宋体" w:cs="宋体"/>
          <w:sz w:val="24"/>
          <w:szCs w:val="24"/>
          <w:highlight w:val="none"/>
          <w:u w:val="single"/>
          <w:lang w:val="en-US" w:eastAsia="zh-CN"/>
        </w:rPr>
        <w:t xml:space="preserve">   日内  </w:t>
      </w:r>
      <w:r>
        <w:rPr>
          <w:rFonts w:hint="eastAsia" w:ascii="宋体" w:hAnsi="宋体" w:eastAsia="宋体" w:cs="宋体"/>
          <w:sz w:val="24"/>
          <w:szCs w:val="24"/>
          <w:highlight w:val="none"/>
          <w:lang w:eastAsia="zh-CN"/>
        </w:rPr>
        <w:t>，签订合同类型：设备采购合同</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eastAsia="zh-CN"/>
        </w:rPr>
        <w:t>.各单位报价时不允许改动清单顺序，全部报价，分项报价表的类别按照报价清单标注的类别填写。</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50"/>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1.投标人向招标方交付的产品质量保证期为产品到货验收合格后12个月。</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50"/>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具有独立法人资格,且具备有效合格的统一社会信用代码的营业执照。</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代理商投标须出具开户许可证、厂家授权书；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资质文件、质量证明材料等；</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洽谈人授权委托书（法定代表人直接参加的，只需携带身份证）、授权人身份证复印件、法人身份证复印件</w:t>
      </w:r>
      <w:r>
        <w:rPr>
          <w:rFonts w:hint="eastAsia" w:ascii="宋体" w:hAnsi="宋体" w:eastAsia="宋体" w:cs="宋体"/>
          <w:sz w:val="24"/>
          <w:szCs w:val="24"/>
          <w:lang w:val="en-US" w:eastAsia="zh-CN"/>
        </w:rPr>
        <w:t>；</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在“国家企业信用信息公示系统”网站、“信用中国”网站未被列为失信被执行人（提供查询结果网页截图）；</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近三年类似业绩，（复印件加盖公章）</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标书正副本每页加盖公章</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对报价文件及合同条款的承诺和补充</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报价函回执</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eastAsia="zh-CN"/>
        </w:rPr>
        <w:t>一套正本、两套副本，</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上午9点30分</w:t>
      </w:r>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报价文件递交资料时间：202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上午9点30分</w:t>
      </w:r>
      <w:r>
        <w:rPr>
          <w:rFonts w:hint="eastAsia" w:ascii="宋体" w:hAnsi="宋体" w:eastAsia="宋体" w:cs="宋体"/>
          <w:sz w:val="24"/>
          <w:szCs w:val="24"/>
          <w:lang w:eastAsia="zh-CN"/>
        </w:rPr>
        <w:t>前，地点为西安市高陵区中钢大道陕西燃气集团工程有限公司二楼会议室。逾期送达的或者未送达指定地点的报价文件，逾期恕不接受。</w:t>
      </w:r>
      <w:bookmarkStart w:id="3" w:name="_GoBack"/>
      <w:bookmarkEnd w:id="3"/>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项目技术</w:t>
      </w:r>
      <w:r>
        <w:rPr>
          <w:rFonts w:hint="eastAsia" w:ascii="宋体" w:hAnsi="宋体" w:eastAsia="宋体" w:cs="宋体"/>
          <w:sz w:val="24"/>
          <w:szCs w:val="24"/>
          <w:highlight w:val="none"/>
          <w:lang w:val="en-US" w:eastAsia="zh-CN"/>
        </w:rPr>
        <w:t>联系人：常志帅                  联系电话：18303410687</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    联系人：宁孟孟                  联系电话：18291972100 </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7842" w:type="dxa"/>
            <w:vAlign w:val="center"/>
          </w:tcPr>
          <w:p>
            <w:pPr>
              <w:keepNext w:val="0"/>
              <w:keepLines w:val="0"/>
              <w:pageBreakBefore w:val="0"/>
              <w:kinsoku/>
              <w:wordWrap/>
              <w:overflowPunct/>
              <w:topLinePunct w:val="0"/>
              <w:autoSpaceDE w:val="0"/>
              <w:autoSpaceDN w:val="0"/>
              <w:bidi w:val="0"/>
              <w:adjustRightInd/>
              <w:snapToGrid/>
              <w:spacing w:beforeAutospacing="0" w:after="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7" w:type="dxa"/>
            <w:gridSpan w:val="2"/>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755"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初步评审标准(此项不符合要求将取消资格)</w:t>
            </w:r>
          </w:p>
        </w:tc>
        <w:tc>
          <w:tcPr>
            <w:tcW w:w="7842" w:type="dxa"/>
            <w:vAlign w:val="center"/>
          </w:tcPr>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1.相关证件名称、地址等信息真实、一致；</w:t>
            </w:r>
          </w:p>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3.业绩真实有效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5"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详细评审标准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7842" w:type="dxa"/>
            <w:vAlign w:val="center"/>
          </w:tcPr>
          <w:p>
            <w:pPr>
              <w:pStyle w:val="5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highlight w:val="none"/>
                <w:lang w:eastAsia="zh-CN"/>
              </w:rPr>
              <w:t>评价分=技术分×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 商务分×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lang w:eastAsia="zh-CN"/>
              </w:rPr>
              <w:t>，按四舍五入原则保留2位小数。</w:t>
            </w:r>
          </w:p>
        </w:tc>
      </w:tr>
    </w:tbl>
    <w:p>
      <w:pPr>
        <w:keepNext w:val="0"/>
        <w:keepLines w:val="0"/>
        <w:pageBreakBefore w:val="0"/>
        <w:shd w:val="clear" w:color="auto" w:fill="FFFFFF"/>
        <w:kinsoku/>
        <w:wordWrap/>
        <w:overflowPunct/>
        <w:topLinePunct w:val="0"/>
        <w:bidi w:val="0"/>
        <w:adjustRightInd/>
        <w:snapToGrid/>
        <w:spacing w:beforeAutospacing="0" w:afterAutospacing="0" w:line="240" w:lineRule="auto"/>
        <w:ind w:left="0" w:leftChars="0" w:firstLine="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7"/>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98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8"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1.经初审合格的投标响应文件，其报价为有效投标报价。</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2.满足实质性要求并且完全响应报价要求的各投标人报价的</w:t>
            </w:r>
            <w:r>
              <w:rPr>
                <w:rFonts w:hint="eastAsia" w:ascii="宋体" w:hAnsi="宋体" w:cs="宋体"/>
                <w:sz w:val="24"/>
                <w:szCs w:val="24"/>
                <w:lang w:val="en-US" w:eastAsia="zh-CN"/>
              </w:rPr>
              <w:t>最低价</w:t>
            </w:r>
            <w:r>
              <w:rPr>
                <w:rFonts w:hint="eastAsia" w:ascii="宋体" w:hAnsi="宋体" w:eastAsia="宋体" w:cs="宋体"/>
                <w:sz w:val="24"/>
                <w:szCs w:val="24"/>
                <w:lang w:val="en-US" w:eastAsia="zh-CN"/>
              </w:rPr>
              <w:t>作为基准价</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cs="宋体"/>
                <w:sz w:val="24"/>
                <w:szCs w:val="24"/>
                <w:lang w:eastAsia="zh-CN"/>
              </w:rPr>
            </w:pPr>
            <w:r>
              <w:rPr>
                <w:rFonts w:hint="eastAsia" w:ascii="宋体" w:hAnsi="宋体" w:eastAsia="宋体" w:cs="宋体"/>
                <w:sz w:val="24"/>
                <w:szCs w:val="24"/>
                <w:lang w:eastAsia="zh-CN"/>
              </w:rPr>
              <w:t>3.报价得分：最终报价高于投标基准价：每高于基准价1%，扣1分</w:t>
            </w:r>
            <w:r>
              <w:rPr>
                <w:rFonts w:hint="eastAsia" w:ascii="宋体" w:hAnsi="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4.报价不完整的，不进入评标标准价的计算，本项得0分。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5.经评委一致认定，投标最终总报价低于成本价，其响应将被拒绝。</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7"/>
        <w:tblW w:w="9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82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业绩</w:t>
            </w:r>
            <w:r>
              <w:rPr>
                <w:rFonts w:hint="eastAsia" w:ascii="宋体" w:hAnsi="宋体" w:eastAsia="宋体" w:cs="宋体"/>
                <w:sz w:val="21"/>
                <w:szCs w:val="21"/>
                <w:lang w:eastAsia="zh-CN"/>
              </w:rPr>
              <w:t>及实力证明</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提供2020年1月至今类似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质量保证和售后服务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对各投标人的质量保证范围、质保期限、售后服务等内容进行横向比较，按差别赋分（0-</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spacing w:after="0"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eastAsia="zh-CN"/>
        </w:rPr>
        <w:t>日</w:t>
      </w:r>
      <w:bookmarkEnd w:id="0"/>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bCs/>
          <w:kern w:val="0"/>
          <w:sz w:val="48"/>
          <w:szCs w:val="48"/>
          <w:highlight w:val="none"/>
        </w:rPr>
      </w:pPr>
      <w:r>
        <w:rPr>
          <w:rFonts w:hint="eastAsia" w:ascii="宋体" w:hAnsi="宋体" w:cs="宋体"/>
          <w:b/>
          <w:bCs/>
          <w:kern w:val="0"/>
          <w:sz w:val="48"/>
          <w:szCs w:val="48"/>
          <w:highlight w:val="none"/>
          <w:lang w:eastAsia="zh-CN"/>
        </w:rPr>
        <w:t>陕西燃气</w:t>
      </w:r>
      <w:r>
        <w:rPr>
          <w:rFonts w:hint="eastAsia" w:ascii="宋体" w:hAnsi="宋体" w:eastAsia="宋体" w:cs="宋体"/>
          <w:b/>
          <w:bCs/>
          <w:kern w:val="0"/>
          <w:sz w:val="48"/>
          <w:szCs w:val="48"/>
          <w:highlight w:val="none"/>
        </w:rPr>
        <w:t>集团工程有限公司</w:t>
      </w:r>
    </w:p>
    <w:p>
      <w:pPr>
        <w:jc w:val="center"/>
        <w:rPr>
          <w:rFonts w:hint="eastAsia" w:ascii="宋体" w:hAnsi="宋体" w:eastAsia="宋体" w:cs="宋体"/>
          <w:b/>
          <w:bCs/>
          <w:kern w:val="0"/>
          <w:sz w:val="48"/>
          <w:szCs w:val="48"/>
          <w:highlight w:val="none"/>
          <w:lang w:val="en-US" w:eastAsia="zh-CN"/>
        </w:rPr>
      </w:pPr>
      <w:r>
        <w:rPr>
          <w:rFonts w:hint="eastAsia" w:ascii="宋体" w:hAnsi="宋体" w:eastAsia="宋体" w:cs="宋体"/>
          <w:b/>
          <w:bCs/>
          <w:kern w:val="0"/>
          <w:sz w:val="48"/>
          <w:szCs w:val="48"/>
          <w:highlight w:val="none"/>
          <w:lang w:val="en-US" w:eastAsia="zh-CN"/>
        </w:rPr>
        <w:t>咸阳市热力公司利用热电联产热网新建及改建项目二期工程换热站、安定</w:t>
      </w:r>
    </w:p>
    <w:p>
      <w:pPr>
        <w:jc w:val="center"/>
        <w:rPr>
          <w:rFonts w:hint="eastAsia" w:ascii="宋体" w:hAnsi="宋体" w:eastAsia="宋体" w:cs="宋体"/>
          <w:b/>
          <w:bCs/>
          <w:kern w:val="0"/>
          <w:sz w:val="48"/>
          <w:szCs w:val="48"/>
          <w:highlight w:val="none"/>
          <w:lang w:val="en-US" w:eastAsia="zh-CN"/>
        </w:rPr>
      </w:pPr>
      <w:r>
        <w:rPr>
          <w:rFonts w:hint="eastAsia" w:ascii="宋体" w:hAnsi="宋体" w:eastAsia="宋体" w:cs="宋体"/>
          <w:b/>
          <w:bCs/>
          <w:kern w:val="0"/>
          <w:sz w:val="48"/>
          <w:szCs w:val="48"/>
          <w:highlight w:val="none"/>
          <w:lang w:val="en-US" w:eastAsia="zh-CN"/>
        </w:rPr>
        <w:t>路及胜利路、清泰街、渭阳东路、永绥街、友谊路过滤器、防止器、阀门采购</w:t>
      </w: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
        <w:rPr>
          <w:rFonts w:hint="eastAsia"/>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
        <w:rPr>
          <w:rFonts w:hint="eastAsia"/>
        </w:rPr>
      </w:pPr>
    </w:p>
    <w:p>
      <w:pPr>
        <w:rPr>
          <w:rFonts w:hint="eastAsia" w:ascii="宋体" w:hAnsi="宋体" w:eastAsia="宋体" w:cs="宋体"/>
          <w:b/>
          <w:sz w:val="36"/>
          <w:szCs w:val="36"/>
          <w:highlight w:val="none"/>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default"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bookmarkEnd w:id="1"/>
    <w:bookmarkEnd w:id="2"/>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4"/>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咸阳市热力公司利用热电联产热网新建及改建项目二期工程换热站、安定路及胜利路、清泰街、渭阳东路、永绥街、友谊路过滤器、防止器、阀门采购</w:t>
      </w:r>
      <w:r>
        <w:rPr>
          <w:rFonts w:hint="eastAsia" w:ascii="仿宋" w:hAnsi="仿宋" w:eastAsia="仿宋" w:cs="仿宋_GB2312"/>
          <w:sz w:val="32"/>
          <w:szCs w:val="32"/>
          <w:lang w:eastAsia="zh-CN"/>
        </w:rPr>
        <w:t>事宜，结合市场行情，我方本次材料报价为：</w:t>
      </w:r>
    </w:p>
    <w:tbl>
      <w:tblPr>
        <w:tblStyle w:val="18"/>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00"/>
        <w:gridCol w:w="1820"/>
        <w:gridCol w:w="580"/>
        <w:gridCol w:w="560"/>
        <w:gridCol w:w="960"/>
        <w:gridCol w:w="980"/>
        <w:gridCol w:w="1060"/>
        <w:gridCol w:w="884"/>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130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名称</w:t>
            </w:r>
          </w:p>
        </w:tc>
        <w:tc>
          <w:tcPr>
            <w:tcW w:w="182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规格</w:t>
            </w:r>
          </w:p>
        </w:tc>
        <w:tc>
          <w:tcPr>
            <w:tcW w:w="5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w:t>
            </w:r>
          </w:p>
        </w:tc>
        <w:tc>
          <w:tcPr>
            <w:tcW w:w="5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数量</w:t>
            </w:r>
          </w:p>
        </w:tc>
        <w:tc>
          <w:tcPr>
            <w:tcW w:w="9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不含税单价（元）</w:t>
            </w:r>
          </w:p>
        </w:tc>
        <w:tc>
          <w:tcPr>
            <w:tcW w:w="98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含税单价（元）</w:t>
            </w:r>
          </w:p>
        </w:tc>
        <w:tc>
          <w:tcPr>
            <w:tcW w:w="106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合价（元）</w:t>
            </w:r>
          </w:p>
        </w:tc>
        <w:tc>
          <w:tcPr>
            <w:tcW w:w="884"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厂家</w:t>
            </w:r>
          </w:p>
        </w:tc>
        <w:tc>
          <w:tcPr>
            <w:tcW w:w="968"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Y型过滤器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SY4P-10</w:t>
            </w:r>
            <w:r>
              <w:rPr>
                <w:rFonts w:hint="eastAsia" w:ascii="宋体" w:hAnsi="宋体" w:eastAsia="宋体" w:cs="宋体"/>
                <w:b w:val="0"/>
                <w:bCs w:val="0"/>
                <w:i w:val="0"/>
                <w:iCs w:val="0"/>
                <w:color w:val="000000"/>
                <w:kern w:val="0"/>
                <w:sz w:val="24"/>
                <w:szCs w:val="24"/>
                <w:u w:val="none"/>
                <w:lang w:val="en-US" w:eastAsia="zh-CN" w:bidi="ar"/>
              </w:rPr>
              <w:t>型</w:t>
            </w:r>
            <w:r>
              <w:rPr>
                <w:rFonts w:hint="default" w:ascii="宋体" w:hAnsi="宋体" w:eastAsia="宋体" w:cs="宋体"/>
                <w:b w:val="0"/>
                <w:bCs w:val="0"/>
                <w:i w:val="0"/>
                <w:iCs w:val="0"/>
                <w:color w:val="000000"/>
                <w:kern w:val="0"/>
                <w:sz w:val="24"/>
                <w:szCs w:val="24"/>
                <w:u w:val="none"/>
                <w:lang w:val="en-US" w:eastAsia="zh-CN" w:bidi="ar"/>
              </w:rPr>
              <w:t xml:space="preserve"> DN20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Y型过滤器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SY4P-10型 DN25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Y型过滤器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SY4P-10型  DN32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Y型过滤器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SY4P-10型 DN50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Y型过滤器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SY4P-10型 DN65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SY4P-10型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倒流防止器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LHS743X DN20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7</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倒流防止器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LHS743X DN25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8</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倒流防止器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LHS743X DN32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倒流防止器</w:t>
            </w:r>
          </w:p>
        </w:tc>
        <w:tc>
          <w:tcPr>
            <w:tcW w:w="182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LHS743X DN50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10</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倒流防止器</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LHS743X DN65 Pg=1.0mPa</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LHS743X型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11</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DN20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12</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Z41—10 DN25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38</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13</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DN32</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14</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DN40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15</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82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16</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DN65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60</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17</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闸阀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Z41X—10 DN80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Z41X</w:t>
            </w:r>
            <w:r>
              <w:rPr>
                <w:rFonts w:hint="eastAsia" w:ascii="宋体" w:hAnsi="宋体" w:eastAsia="宋体" w:cs="宋体"/>
                <w:b w:val="0"/>
                <w:bCs w:val="0"/>
                <w:i w:val="0"/>
                <w:iCs w:val="0"/>
                <w:color w:val="000000"/>
                <w:kern w:val="0"/>
                <w:sz w:val="24"/>
                <w:szCs w:val="24"/>
                <w:u w:val="none"/>
                <w:lang w:val="en-US" w:eastAsia="zh-CN" w:bidi="ar"/>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18</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DN65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19</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DN80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20</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DN100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21</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DN125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25</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22</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DN150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23</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DN200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24</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DN250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25</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D343H-16C DN300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26</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DN65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27</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DN80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28</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DN100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17</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29</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DN125</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30</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DN150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17</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31</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DN200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32</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钢制蝶阀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D343H-25C DN250</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D343H型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33</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DN15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34</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DN20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16</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35</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DN25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14</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36</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DN50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18</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37</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DN75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38</w:t>
            </w:r>
          </w:p>
        </w:tc>
        <w:tc>
          <w:tcPr>
            <w:tcW w:w="130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球阀</w:t>
            </w:r>
          </w:p>
        </w:tc>
        <w:tc>
          <w:tcPr>
            <w:tcW w:w="18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DN100  Q41H-25C</w:t>
            </w:r>
            <w:r>
              <w:rPr>
                <w:rFonts w:hint="eastAsia" w:ascii="宋体" w:hAnsi="宋体" w:eastAsia="宋体" w:cs="宋体"/>
                <w:b w:val="0"/>
                <w:bCs w:val="0"/>
                <w:i w:val="0"/>
                <w:iCs w:val="0"/>
                <w:color w:val="000000"/>
                <w:kern w:val="0"/>
                <w:sz w:val="24"/>
                <w:szCs w:val="24"/>
                <w:u w:val="none"/>
                <w:lang w:val="en-US" w:eastAsia="zh-CN" w:bidi="ar"/>
              </w:rPr>
              <w:t>型</w:t>
            </w:r>
          </w:p>
        </w:tc>
        <w:tc>
          <w:tcPr>
            <w:tcW w:w="58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5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10</w:t>
            </w:r>
          </w:p>
        </w:tc>
        <w:tc>
          <w:tcPr>
            <w:tcW w:w="9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GB/T37827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39</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DN65</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Q61F-25C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40</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DN80 Q61F-25C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41</w:t>
            </w:r>
          </w:p>
        </w:tc>
        <w:tc>
          <w:tcPr>
            <w:tcW w:w="130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DN100 Q61F-25C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42</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DN125 Q61F-25C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43</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DN150 Q61F-25C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44</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DN200 Q67F-25C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45</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DN250 Q367F-25C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46</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DN300 Q367F-25C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47</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DN350 Q367F-25C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48</w:t>
            </w:r>
          </w:p>
        </w:tc>
        <w:tc>
          <w:tcPr>
            <w:tcW w:w="130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全通焊接球阀（双向密封）</w:t>
            </w:r>
          </w:p>
        </w:tc>
        <w:tc>
          <w:tcPr>
            <w:tcW w:w="182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DN600</w:t>
            </w:r>
            <w:r>
              <w:rPr>
                <w:rFonts w:hint="eastAsia" w:ascii="宋体" w:hAnsi="宋体" w:eastAsia="宋体" w:cs="宋体"/>
                <w:i w:val="0"/>
                <w:iCs w:val="0"/>
                <w:color w:val="auto"/>
                <w:kern w:val="0"/>
                <w:sz w:val="20"/>
                <w:szCs w:val="20"/>
                <w:u w:val="none"/>
                <w:lang w:val="en-US" w:eastAsia="zh-CN" w:bidi="ar"/>
              </w:rPr>
              <w:t xml:space="preserve"> </w:t>
            </w:r>
            <w:r>
              <w:rPr>
                <w:rFonts w:hint="default" w:ascii="宋体" w:hAnsi="宋体" w:eastAsia="宋体" w:cs="宋体"/>
                <w:i w:val="0"/>
                <w:iCs w:val="0"/>
                <w:color w:val="auto"/>
                <w:kern w:val="0"/>
                <w:sz w:val="20"/>
                <w:szCs w:val="20"/>
                <w:u w:val="none"/>
                <w:lang w:val="en-US" w:eastAsia="zh-CN" w:bidi="ar"/>
              </w:rPr>
              <w:t>Q367F-25C</w:t>
            </w:r>
          </w:p>
        </w:tc>
        <w:tc>
          <w:tcPr>
            <w:tcW w:w="58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60" w:type="dxa"/>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0" w:type="dxa"/>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auto"/>
                <w:kern w:val="0"/>
                <w:sz w:val="20"/>
                <w:szCs w:val="20"/>
                <w:u w:val="none"/>
                <w:lang w:val="en-US" w:eastAsia="zh-CN" w:bidi="ar"/>
              </w:rPr>
            </w:pPr>
          </w:p>
        </w:tc>
        <w:tc>
          <w:tcPr>
            <w:tcW w:w="98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06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96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w:t>
            </w:r>
            <w:r>
              <w:rPr>
                <w:rFonts w:hint="eastAsia" w:ascii="宋体" w:hAnsi="宋体" w:eastAsia="宋体" w:cs="宋体"/>
                <w:b w:val="0"/>
                <w:bCs w:val="0"/>
                <w:i w:val="0"/>
                <w:iCs w:val="0"/>
                <w:color w:val="000000"/>
                <w:kern w:val="0"/>
                <w:sz w:val="24"/>
                <w:szCs w:val="24"/>
                <w:u w:val="none"/>
                <w:lang w:val="en-US" w:eastAsia="zh-CN" w:bidi="ar"/>
              </w:rPr>
              <w:t>/</w:t>
            </w:r>
            <w:r>
              <w:rPr>
                <w:rFonts w:hint="default" w:ascii="宋体" w:hAnsi="宋体" w:eastAsia="宋体" w:cs="宋体"/>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13927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0" w:type="dxa"/>
            <w:vAlign w:val="center"/>
          </w:tcPr>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0080" w:type="dxa"/>
            <w:gridSpan w:val="10"/>
            <w:vAlign w:val="center"/>
          </w:tcPr>
          <w:p>
            <w:pPr>
              <w:pStyle w:val="24"/>
              <w:keepNext w:val="0"/>
              <w:keepLines w:val="0"/>
              <w:pageBreakBefore w:val="0"/>
              <w:widowControl/>
              <w:tabs>
                <w:tab w:val="left" w:pos="839"/>
              </w:tabs>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spacing w:after="0" w:line="560" w:lineRule="exact"/>
        <w:ind w:firstLine="640" w:firstLineChars="200"/>
        <w:rPr>
          <w:rFonts w:hint="eastAsia" w:ascii="仿宋" w:hAnsi="仿宋" w:eastAsia="仿宋" w:cs="仿宋_GB2312"/>
          <w:sz w:val="32"/>
          <w:szCs w:val="32"/>
          <w:lang w:eastAsia="zh-CN"/>
        </w:rPr>
      </w:pP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jc w:val="center"/>
        <w:rPr>
          <w:rFonts w:hint="eastAsia" w:ascii="宋体" w:hAnsi="宋体" w:cs="宋体"/>
          <w:b/>
          <w:bCs/>
          <w:sz w:val="36"/>
          <w:lang w:val="en-US" w:eastAsia="zh-CN"/>
        </w:rPr>
      </w:pPr>
      <w:r>
        <w:rPr>
          <w:rFonts w:hint="eastAsia" w:ascii="宋体" w:hAnsi="宋体" w:cs="宋体"/>
          <w:b/>
          <w:bCs/>
          <w:sz w:val="36"/>
          <w:lang w:val="en-US" w:eastAsia="zh-CN"/>
        </w:rPr>
        <w:t>二、商务、技术偏离表</w:t>
      </w:r>
    </w:p>
    <w:tbl>
      <w:tblPr>
        <w:tblStyle w:val="1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48"/>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三</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咸阳市热力公司利用热电联产热网新建及改建项目二期工程换热站、安定路及胜利路、清泰街、渭阳东路、永绥街、友谊路过滤器、防止器、阀门采购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440"/>
        <w:rPr>
          <w:rFonts w:ascii="宋体" w:hAnsi="宋体" w:eastAsia="宋体" w:cs="宋体"/>
          <w:lang w:eastAsia="zh-CN"/>
        </w:rPr>
      </w:pPr>
    </w:p>
    <w:p>
      <w:pPr>
        <w:pStyle w:val="24"/>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numPr>
          <w:ilvl w:val="0"/>
          <w:numId w:val="0"/>
        </w:numPr>
        <w:jc w:val="center"/>
        <w:rPr>
          <w:rFonts w:ascii="宋体" w:hAnsi="宋体" w:eastAsia="宋体" w:cs="宋体"/>
          <w:b/>
          <w:bCs/>
          <w:sz w:val="36"/>
          <w:szCs w:val="36"/>
          <w:lang w:eastAsia="zh-CN"/>
        </w:rPr>
      </w:pPr>
      <w:r>
        <w:rPr>
          <w:rFonts w:hint="eastAsia" w:cs="宋体"/>
          <w:b/>
          <w:bCs/>
          <w:sz w:val="36"/>
          <w:szCs w:val="36"/>
          <w:lang w:val="en-US" w:eastAsia="zh-CN"/>
        </w:rPr>
        <w:t>四</w:t>
      </w:r>
      <w:r>
        <w:rPr>
          <w:rFonts w:hint="eastAsia" w:ascii="宋体" w:hAnsi="宋体" w:cs="宋体"/>
          <w:b/>
          <w:bCs/>
          <w:sz w:val="36"/>
          <w:szCs w:val="36"/>
          <w:lang w:val="en-US" w:eastAsia="zh-CN"/>
        </w:rPr>
        <w:t>、</w:t>
      </w:r>
      <w:r>
        <w:rPr>
          <w:rFonts w:ascii="宋体" w:hAnsi="宋体" w:eastAsia="宋体" w:cs="宋体"/>
          <w:b/>
          <w:bCs/>
          <w:sz w:val="36"/>
          <w:szCs w:val="36"/>
          <w:lang w:eastAsia="zh-CN"/>
        </w:rPr>
        <w:t>营业执照、开户许可证</w:t>
      </w:r>
    </w:p>
    <w:p>
      <w:pPr>
        <w:pStyle w:val="24"/>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pStyle w:val="49"/>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五、厂家授权书、资质证明文件等其他证明资料</w:t>
      </w:r>
    </w:p>
    <w:p>
      <w:pPr>
        <w:pStyle w:val="49"/>
        <w:spacing w:after="0" w:line="240" w:lineRule="auto"/>
        <w:jc w:val="center"/>
        <w:rPr>
          <w:rFonts w:hint="eastAsia"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p>
    <w:p>
      <w:pPr>
        <w:pStyle w:val="49"/>
        <w:numPr>
          <w:ilvl w:val="0"/>
          <w:numId w:val="0"/>
        </w:numPr>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六、投标人业绩、实力等其他证明资料（复印件加</w:t>
      </w: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七、投标人在“国家企业信用信息公示系统”网站、</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“信用中国”网站未被列为失信被执行人（提供查</w:t>
      </w:r>
    </w:p>
    <w:p>
      <w:pPr>
        <w:pStyle w:val="49"/>
        <w:numPr>
          <w:ilvl w:val="0"/>
          <w:numId w:val="0"/>
        </w:numPr>
        <w:spacing w:after="0" w:line="240" w:lineRule="auto"/>
        <w:jc w:val="center"/>
        <w:rPr>
          <w:rFonts w:hint="default" w:ascii="宋体" w:hAnsi="宋体" w:eastAsia="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kern w:val="2"/>
          <w:sz w:val="36"/>
          <w:szCs w:val="36"/>
          <w:lang w:val="en-US" w:eastAsia="zh-CN"/>
        </w:rPr>
        <w:t>询结果网页截图）未列入《延长石油集团失信交易商名单》（附承诺书加盖公章）。</w:t>
      </w:r>
    </w:p>
    <w:p>
      <w:pPr>
        <w:jc w:val="center"/>
        <w:rPr>
          <w:rFonts w:ascii="宋体" w:hAnsi="宋体" w:eastAsia="宋体" w:cs="宋体"/>
          <w:b/>
          <w:bCs/>
          <w:kern w:val="2"/>
          <w:sz w:val="36"/>
          <w:szCs w:val="36"/>
          <w:lang w:eastAsia="zh-CN"/>
        </w:rPr>
      </w:pPr>
      <w:r>
        <w:rPr>
          <w:rFonts w:hint="eastAsia" w:ascii="宋体" w:hAnsi="宋体" w:cs="宋体"/>
          <w:b/>
          <w:bCs/>
          <w:kern w:val="2"/>
          <w:sz w:val="36"/>
          <w:szCs w:val="36"/>
          <w:lang w:val="en-US" w:eastAsia="zh-CN"/>
        </w:rPr>
        <w:t>八</w:t>
      </w:r>
      <w:r>
        <w:rPr>
          <w:rFonts w:hint="eastAsia" w:ascii="宋体" w:hAnsi="宋体" w:cs="宋体"/>
          <w:b/>
          <w:bCs/>
          <w:kern w:val="2"/>
          <w:sz w:val="36"/>
          <w:szCs w:val="36"/>
          <w:lang w:eastAsia="zh-CN"/>
        </w:rPr>
        <w:t>、</w:t>
      </w:r>
      <w:r>
        <w:rPr>
          <w:rFonts w:hint="eastAsia" w:ascii="宋体" w:hAnsi="宋体" w:eastAsia="宋体" w:cs="宋体"/>
          <w:b/>
          <w:bCs/>
          <w:kern w:val="2"/>
          <w:sz w:val="36"/>
          <w:szCs w:val="36"/>
          <w:lang w:val="en-US" w:eastAsia="zh-CN"/>
        </w:rPr>
        <w:t>质量保证和售后服务</w:t>
      </w:r>
      <w:r>
        <w:rPr>
          <w:rFonts w:ascii="宋体" w:hAnsi="宋体" w:eastAsia="宋体" w:cs="宋体"/>
          <w:b/>
          <w:bCs/>
          <w:kern w:val="2"/>
          <w:sz w:val="36"/>
          <w:szCs w:val="36"/>
          <w:lang w:eastAsia="zh-CN"/>
        </w:rPr>
        <w:br w:type="page"/>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九、</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项目二期工程换热站、安定路及胜利路、清泰街、</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渭阳东路、永绥街、友谊路过滤器、防止器、阀门</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采</w:t>
      </w:r>
      <w:r>
        <w:rPr>
          <w:rFonts w:hint="eastAsia" w:ascii="宋体" w:hAnsi="宋体" w:eastAsia="宋体" w:cs="宋体"/>
          <w:b/>
          <w:bCs/>
          <w:kern w:val="2"/>
          <w:sz w:val="36"/>
          <w:szCs w:val="36"/>
          <w:lang w:eastAsia="zh-CN"/>
        </w:rPr>
        <w:t>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咸阳市热力公司利用热电联产热网新建及改建项目二期工程换热站、安定路及胜利路、清泰街、渭阳东路、永绥街、友谊路过滤器、防止器、阀门采购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4"/>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rPr>
          <w:rFonts w:hint="default" w:ascii="宋体" w:hAnsi="宋体" w:eastAsia="宋体" w:cs="宋体"/>
          <w:sz w:val="28"/>
          <w:szCs w:val="28"/>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D96C16BD-2574-49FB-8B59-23A406561E64}"/>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73C8C5D7-ECB9-48D5-84AF-7785EA3B907A}"/>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19DCD27F-3611-454D-91EF-A632FA638E2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8F4D4FD0"/>
    <w:multiLevelType w:val="singleLevel"/>
    <w:tmpl w:val="8F4D4FD0"/>
    <w:lvl w:ilvl="0" w:tentative="0">
      <w:start w:val="1"/>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497742C"/>
    <w:rsid w:val="04CF1E07"/>
    <w:rsid w:val="05055CA7"/>
    <w:rsid w:val="055E6A41"/>
    <w:rsid w:val="05A37F3E"/>
    <w:rsid w:val="062D594E"/>
    <w:rsid w:val="06F5135C"/>
    <w:rsid w:val="06FF6171"/>
    <w:rsid w:val="071B4C49"/>
    <w:rsid w:val="079B5895"/>
    <w:rsid w:val="081E47AF"/>
    <w:rsid w:val="083D1897"/>
    <w:rsid w:val="08635D9F"/>
    <w:rsid w:val="086921A8"/>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E3F74B3"/>
    <w:rsid w:val="0E620603"/>
    <w:rsid w:val="0E755A06"/>
    <w:rsid w:val="0F020CE8"/>
    <w:rsid w:val="0FB81855"/>
    <w:rsid w:val="0FCF484D"/>
    <w:rsid w:val="1002488C"/>
    <w:rsid w:val="10714BC1"/>
    <w:rsid w:val="1072605F"/>
    <w:rsid w:val="10834BA2"/>
    <w:rsid w:val="10D90B98"/>
    <w:rsid w:val="10EC30CD"/>
    <w:rsid w:val="10F11D43"/>
    <w:rsid w:val="10F93091"/>
    <w:rsid w:val="11494DF7"/>
    <w:rsid w:val="117A1736"/>
    <w:rsid w:val="1189337F"/>
    <w:rsid w:val="11EE213D"/>
    <w:rsid w:val="120314AE"/>
    <w:rsid w:val="12474BA3"/>
    <w:rsid w:val="124A38EA"/>
    <w:rsid w:val="12915BA1"/>
    <w:rsid w:val="12A33350"/>
    <w:rsid w:val="12E944D4"/>
    <w:rsid w:val="12EA0187"/>
    <w:rsid w:val="1438224C"/>
    <w:rsid w:val="143B31BA"/>
    <w:rsid w:val="147B2863"/>
    <w:rsid w:val="14DF5F6B"/>
    <w:rsid w:val="15C0156B"/>
    <w:rsid w:val="15D26D59"/>
    <w:rsid w:val="16476C59"/>
    <w:rsid w:val="164A40FD"/>
    <w:rsid w:val="164E77A2"/>
    <w:rsid w:val="16673495"/>
    <w:rsid w:val="16FC471D"/>
    <w:rsid w:val="17AA0C9F"/>
    <w:rsid w:val="1857306C"/>
    <w:rsid w:val="185C4748"/>
    <w:rsid w:val="189F2F01"/>
    <w:rsid w:val="18C11FF4"/>
    <w:rsid w:val="18E55A67"/>
    <w:rsid w:val="18E63995"/>
    <w:rsid w:val="18E941BF"/>
    <w:rsid w:val="196A54B3"/>
    <w:rsid w:val="1976123A"/>
    <w:rsid w:val="1B541992"/>
    <w:rsid w:val="1BE36575"/>
    <w:rsid w:val="1C0E658E"/>
    <w:rsid w:val="1C2229D6"/>
    <w:rsid w:val="1C456932"/>
    <w:rsid w:val="1D483523"/>
    <w:rsid w:val="1D7B16E2"/>
    <w:rsid w:val="1DCA5F3E"/>
    <w:rsid w:val="1DCD7BE2"/>
    <w:rsid w:val="1E193401"/>
    <w:rsid w:val="1E49616B"/>
    <w:rsid w:val="1E690D22"/>
    <w:rsid w:val="1E813387"/>
    <w:rsid w:val="1EA013DF"/>
    <w:rsid w:val="1EB74DFC"/>
    <w:rsid w:val="1F4C1053"/>
    <w:rsid w:val="1F543666"/>
    <w:rsid w:val="1FAD46B3"/>
    <w:rsid w:val="1FC3545A"/>
    <w:rsid w:val="1FE80954"/>
    <w:rsid w:val="202334CD"/>
    <w:rsid w:val="205159CE"/>
    <w:rsid w:val="214B794E"/>
    <w:rsid w:val="217C5EFE"/>
    <w:rsid w:val="222D32B6"/>
    <w:rsid w:val="223B58C5"/>
    <w:rsid w:val="22BA1DE1"/>
    <w:rsid w:val="237202AC"/>
    <w:rsid w:val="23B034F3"/>
    <w:rsid w:val="23CE62EC"/>
    <w:rsid w:val="23EE3916"/>
    <w:rsid w:val="23FB73C4"/>
    <w:rsid w:val="24351414"/>
    <w:rsid w:val="243B01A4"/>
    <w:rsid w:val="24432BA1"/>
    <w:rsid w:val="244A1820"/>
    <w:rsid w:val="24616393"/>
    <w:rsid w:val="24CA1DCA"/>
    <w:rsid w:val="25F934C3"/>
    <w:rsid w:val="261F7BFC"/>
    <w:rsid w:val="26566C4F"/>
    <w:rsid w:val="265A4A4B"/>
    <w:rsid w:val="26762D75"/>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CCA4885"/>
    <w:rsid w:val="2D0B6797"/>
    <w:rsid w:val="2D4E02F3"/>
    <w:rsid w:val="2DF2419C"/>
    <w:rsid w:val="2F4C1ADC"/>
    <w:rsid w:val="2F7D16A3"/>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31E1F8D"/>
    <w:rsid w:val="34217016"/>
    <w:rsid w:val="34A8669C"/>
    <w:rsid w:val="350F5B39"/>
    <w:rsid w:val="35165311"/>
    <w:rsid w:val="3542359F"/>
    <w:rsid w:val="35715980"/>
    <w:rsid w:val="35991FA1"/>
    <w:rsid w:val="35BE5F2C"/>
    <w:rsid w:val="35D05C27"/>
    <w:rsid w:val="360F7F40"/>
    <w:rsid w:val="366A36E8"/>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E631381"/>
    <w:rsid w:val="3EA169E6"/>
    <w:rsid w:val="3EF27F98"/>
    <w:rsid w:val="3F313892"/>
    <w:rsid w:val="3F4E4EEB"/>
    <w:rsid w:val="3F6A381A"/>
    <w:rsid w:val="3FAE3F57"/>
    <w:rsid w:val="3FCB15E3"/>
    <w:rsid w:val="401D4304"/>
    <w:rsid w:val="40FB63B5"/>
    <w:rsid w:val="415E1D33"/>
    <w:rsid w:val="418C4C07"/>
    <w:rsid w:val="41D41319"/>
    <w:rsid w:val="421F5007"/>
    <w:rsid w:val="4246200C"/>
    <w:rsid w:val="42CE526A"/>
    <w:rsid w:val="42E4680E"/>
    <w:rsid w:val="436408CC"/>
    <w:rsid w:val="43642093"/>
    <w:rsid w:val="43B16F9E"/>
    <w:rsid w:val="44161FF1"/>
    <w:rsid w:val="442B1041"/>
    <w:rsid w:val="44D40592"/>
    <w:rsid w:val="455B0BE8"/>
    <w:rsid w:val="459B12FC"/>
    <w:rsid w:val="45A25FDE"/>
    <w:rsid w:val="45CF6FEF"/>
    <w:rsid w:val="45EB689E"/>
    <w:rsid w:val="45F41A6E"/>
    <w:rsid w:val="46222D95"/>
    <w:rsid w:val="4638523B"/>
    <w:rsid w:val="467B4E57"/>
    <w:rsid w:val="467B5D3A"/>
    <w:rsid w:val="46902919"/>
    <w:rsid w:val="470F5FD4"/>
    <w:rsid w:val="471C4D66"/>
    <w:rsid w:val="474A1E2D"/>
    <w:rsid w:val="47691071"/>
    <w:rsid w:val="49E54986"/>
    <w:rsid w:val="4A64117C"/>
    <w:rsid w:val="4A825DF7"/>
    <w:rsid w:val="4A9377B7"/>
    <w:rsid w:val="4A9B05A9"/>
    <w:rsid w:val="4ABC573D"/>
    <w:rsid w:val="4B8244EA"/>
    <w:rsid w:val="4BBA6814"/>
    <w:rsid w:val="4C2E74ED"/>
    <w:rsid w:val="4CB96FE8"/>
    <w:rsid w:val="4D2845B6"/>
    <w:rsid w:val="4D387840"/>
    <w:rsid w:val="4D772620"/>
    <w:rsid w:val="4D785696"/>
    <w:rsid w:val="4DC4675B"/>
    <w:rsid w:val="4DFA2E2A"/>
    <w:rsid w:val="4E1B1545"/>
    <w:rsid w:val="4E257888"/>
    <w:rsid w:val="4E395863"/>
    <w:rsid w:val="4E5110AD"/>
    <w:rsid w:val="4E6314B0"/>
    <w:rsid w:val="4E633F96"/>
    <w:rsid w:val="4E75445C"/>
    <w:rsid w:val="4E88235B"/>
    <w:rsid w:val="4F2655EB"/>
    <w:rsid w:val="4F3F0FC5"/>
    <w:rsid w:val="4F6C4D49"/>
    <w:rsid w:val="5011167D"/>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5C562B"/>
    <w:rsid w:val="556B386F"/>
    <w:rsid w:val="55CE318F"/>
    <w:rsid w:val="56370A2A"/>
    <w:rsid w:val="565279A3"/>
    <w:rsid w:val="56706DEC"/>
    <w:rsid w:val="572F7119"/>
    <w:rsid w:val="573A665F"/>
    <w:rsid w:val="57CC2F03"/>
    <w:rsid w:val="58000601"/>
    <w:rsid w:val="58817598"/>
    <w:rsid w:val="58DF4316"/>
    <w:rsid w:val="59062ABF"/>
    <w:rsid w:val="59924B36"/>
    <w:rsid w:val="59C25C29"/>
    <w:rsid w:val="5A934354"/>
    <w:rsid w:val="5A9E5450"/>
    <w:rsid w:val="5A9E63D2"/>
    <w:rsid w:val="5AD579D5"/>
    <w:rsid w:val="5AE23D8B"/>
    <w:rsid w:val="5B3221AA"/>
    <w:rsid w:val="5B3D1D72"/>
    <w:rsid w:val="5B7B1CE1"/>
    <w:rsid w:val="5BC54EBD"/>
    <w:rsid w:val="5BF90726"/>
    <w:rsid w:val="5C8C2DB7"/>
    <w:rsid w:val="5CB70B8B"/>
    <w:rsid w:val="5CFD0FAB"/>
    <w:rsid w:val="5DB4653D"/>
    <w:rsid w:val="5DDB75E5"/>
    <w:rsid w:val="5E0D46A2"/>
    <w:rsid w:val="5E1614EB"/>
    <w:rsid w:val="5E2A34C9"/>
    <w:rsid w:val="5E59547F"/>
    <w:rsid w:val="5F593573"/>
    <w:rsid w:val="5F5F7CC2"/>
    <w:rsid w:val="5F6B7FF9"/>
    <w:rsid w:val="5F6C08EF"/>
    <w:rsid w:val="5F830D4C"/>
    <w:rsid w:val="5FF7215C"/>
    <w:rsid w:val="600E2A32"/>
    <w:rsid w:val="60AF1486"/>
    <w:rsid w:val="616B35FF"/>
    <w:rsid w:val="61B820DA"/>
    <w:rsid w:val="61C032F6"/>
    <w:rsid w:val="61E02B58"/>
    <w:rsid w:val="620F17D6"/>
    <w:rsid w:val="62334E21"/>
    <w:rsid w:val="624B3A99"/>
    <w:rsid w:val="626C66E0"/>
    <w:rsid w:val="62E009FD"/>
    <w:rsid w:val="634D0519"/>
    <w:rsid w:val="63A944A4"/>
    <w:rsid w:val="64657D8E"/>
    <w:rsid w:val="647D482C"/>
    <w:rsid w:val="649D4B1A"/>
    <w:rsid w:val="652629B2"/>
    <w:rsid w:val="65E30F2D"/>
    <w:rsid w:val="660B7DA3"/>
    <w:rsid w:val="66707695"/>
    <w:rsid w:val="66A448C7"/>
    <w:rsid w:val="66AF61D1"/>
    <w:rsid w:val="66F378E4"/>
    <w:rsid w:val="673E020C"/>
    <w:rsid w:val="6746070C"/>
    <w:rsid w:val="677D766F"/>
    <w:rsid w:val="684B5726"/>
    <w:rsid w:val="69C207FD"/>
    <w:rsid w:val="6A0A4F82"/>
    <w:rsid w:val="6AEB631A"/>
    <w:rsid w:val="6B087A1B"/>
    <w:rsid w:val="6B0A2326"/>
    <w:rsid w:val="6BF45BB6"/>
    <w:rsid w:val="6C9A1CA8"/>
    <w:rsid w:val="6C9A324D"/>
    <w:rsid w:val="6CED1CB3"/>
    <w:rsid w:val="6D0A59CF"/>
    <w:rsid w:val="6D2C542C"/>
    <w:rsid w:val="6D4364FA"/>
    <w:rsid w:val="6D776538"/>
    <w:rsid w:val="6D815379"/>
    <w:rsid w:val="6DCC0D4E"/>
    <w:rsid w:val="6E1E6862"/>
    <w:rsid w:val="6EF64322"/>
    <w:rsid w:val="6F9E30AD"/>
    <w:rsid w:val="6FEF46A2"/>
    <w:rsid w:val="7256244B"/>
    <w:rsid w:val="72DE38E7"/>
    <w:rsid w:val="730075F6"/>
    <w:rsid w:val="733F3369"/>
    <w:rsid w:val="73D70F8A"/>
    <w:rsid w:val="73FA59BB"/>
    <w:rsid w:val="744750A5"/>
    <w:rsid w:val="764500E7"/>
    <w:rsid w:val="768C5180"/>
    <w:rsid w:val="76AA09AF"/>
    <w:rsid w:val="76BA6676"/>
    <w:rsid w:val="77364257"/>
    <w:rsid w:val="77A64A61"/>
    <w:rsid w:val="78184B8D"/>
    <w:rsid w:val="788D6D70"/>
    <w:rsid w:val="79F65ECE"/>
    <w:rsid w:val="7B1856CB"/>
    <w:rsid w:val="7B2A199D"/>
    <w:rsid w:val="7B631937"/>
    <w:rsid w:val="7BA10DD7"/>
    <w:rsid w:val="7C2A5D04"/>
    <w:rsid w:val="7C8E54B4"/>
    <w:rsid w:val="7C9549E8"/>
    <w:rsid w:val="7CEF0A3B"/>
    <w:rsid w:val="7D77768B"/>
    <w:rsid w:val="7DBF4EA3"/>
    <w:rsid w:val="7E6F010F"/>
    <w:rsid w:val="7E970604"/>
    <w:rsid w:val="7ED82B0F"/>
    <w:rsid w:val="7F1900DA"/>
    <w:rsid w:val="7F4D213E"/>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4">
    <w:name w:val="heading 3"/>
    <w:basedOn w:val="1"/>
    <w:next w:val="5"/>
    <w:link w:val="2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qFormat/>
    <w:uiPriority w:val="0"/>
    <w:pPr>
      <w:spacing w:line="300" w:lineRule="auto"/>
      <w:ind w:firstLine="420" w:firstLineChars="200"/>
    </w:pPr>
    <w:rPr>
      <w:szCs w:val="24"/>
    </w:rPr>
  </w:style>
  <w:style w:type="paragraph" w:styleId="7">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8">
    <w:name w:val="annotation text"/>
    <w:basedOn w:val="1"/>
    <w:link w:val="29"/>
    <w:unhideWhenUsed/>
    <w:qFormat/>
    <w:uiPriority w:val="99"/>
    <w:pPr>
      <w:jc w:val="left"/>
    </w:pPr>
    <w:rPr>
      <w:rFonts w:ascii="等线" w:hAnsi="等线" w:eastAsia="等线" w:cs="Times New Roman"/>
      <w:szCs w:val="22"/>
    </w:rPr>
  </w:style>
  <w:style w:type="paragraph" w:styleId="9">
    <w:name w:val="Body Text"/>
    <w:basedOn w:val="1"/>
    <w:next w:val="1"/>
    <w:qFormat/>
    <w:uiPriority w:val="0"/>
    <w:pPr>
      <w:spacing w:line="0" w:lineRule="atLeast"/>
    </w:pPr>
    <w:rPr>
      <w:sz w:val="30"/>
    </w:rPr>
  </w:style>
  <w:style w:type="paragraph" w:styleId="10">
    <w:name w:val="Body Text Indent"/>
    <w:basedOn w:val="1"/>
    <w:qFormat/>
    <w:uiPriority w:val="0"/>
    <w:pPr>
      <w:spacing w:line="480" w:lineRule="exact"/>
      <w:ind w:firstLine="470" w:firstLineChars="196"/>
    </w:pPr>
    <w:rPr>
      <w:rFonts w:ascii="宋体" w:hAnsi="宋体"/>
      <w:sz w:val="24"/>
    </w:rPr>
  </w:style>
  <w:style w:type="paragraph" w:styleId="11">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2">
    <w:name w:val="Balloon Text"/>
    <w:basedOn w:val="1"/>
    <w:link w:val="31"/>
    <w:unhideWhenUsed/>
    <w:qFormat/>
    <w:uiPriority w:val="0"/>
    <w:rPr>
      <w:rFonts w:ascii="等线" w:hAnsi="等线" w:eastAsia="等线" w:cs="Times New Roman"/>
      <w:sz w:val="18"/>
      <w:szCs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8"/>
    <w:next w:val="8"/>
    <w:link w:val="34"/>
    <w:unhideWhenUsed/>
    <w:qFormat/>
    <w:uiPriority w:val="99"/>
    <w:rPr>
      <w:rFonts w:ascii="等线" w:hAnsi="等线" w:eastAsia="等线" w:cs="Times New Roman"/>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qFormat/>
    <w:uiPriority w:val="0"/>
    <w:rPr>
      <w:color w:val="800080"/>
      <w:u w:val="none"/>
    </w:rPr>
  </w:style>
  <w:style w:type="character" w:styleId="22">
    <w:name w:val="Hyperlink"/>
    <w:qFormat/>
    <w:uiPriority w:val="0"/>
    <w:rPr>
      <w:color w:val="0000FF"/>
      <w:u w:val="none"/>
    </w:rPr>
  </w:style>
  <w:style w:type="character" w:styleId="23">
    <w:name w:val="annotation reference"/>
    <w:unhideWhenUsed/>
    <w:qFormat/>
    <w:uiPriority w:val="99"/>
    <w:rPr>
      <w:sz w:val="21"/>
      <w:szCs w:val="21"/>
    </w:rPr>
  </w:style>
  <w:style w:type="paragraph" w:customStyle="1" w:styleId="24">
    <w:name w:val="正文缩进1"/>
    <w:basedOn w:val="25"/>
    <w:next w:val="1"/>
    <w:qFormat/>
    <w:uiPriority w:val="0"/>
    <w:pPr>
      <w:ind w:firstLine="420" w:firstLineChars="200"/>
    </w:pPr>
  </w:style>
  <w:style w:type="paragraph" w:customStyle="1" w:styleId="25">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6">
    <w:name w:val="标题 1 Char"/>
    <w:link w:val="3"/>
    <w:qFormat/>
    <w:uiPriority w:val="0"/>
    <w:rPr>
      <w:rFonts w:ascii="Century Gothic" w:hAnsi="Century Gothic" w:eastAsia="幼圆"/>
      <w:b/>
      <w:kern w:val="44"/>
      <w:sz w:val="44"/>
    </w:rPr>
  </w:style>
  <w:style w:type="character" w:customStyle="1" w:styleId="27">
    <w:name w:val="标题 3 Char"/>
    <w:link w:val="4"/>
    <w:qFormat/>
    <w:uiPriority w:val="0"/>
    <w:rPr>
      <w:b/>
      <w:bCs/>
      <w:kern w:val="2"/>
      <w:sz w:val="32"/>
      <w:szCs w:val="32"/>
    </w:rPr>
  </w:style>
  <w:style w:type="character" w:customStyle="1" w:styleId="28">
    <w:name w:val="文档结构图 Char"/>
    <w:link w:val="7"/>
    <w:qFormat/>
    <w:uiPriority w:val="0"/>
    <w:rPr>
      <w:rFonts w:ascii="Century Gothic" w:hAnsi="Century Gothic" w:eastAsia="幼圆"/>
      <w:kern w:val="2"/>
      <w:sz w:val="21"/>
      <w:shd w:val="clear" w:color="auto" w:fill="000080"/>
    </w:rPr>
  </w:style>
  <w:style w:type="character" w:customStyle="1" w:styleId="29">
    <w:name w:val="批注文字 Char"/>
    <w:link w:val="8"/>
    <w:qFormat/>
    <w:uiPriority w:val="99"/>
    <w:rPr>
      <w:rFonts w:ascii="等线" w:hAnsi="等线" w:eastAsia="等线"/>
      <w:kern w:val="2"/>
      <w:sz w:val="21"/>
      <w:szCs w:val="22"/>
    </w:rPr>
  </w:style>
  <w:style w:type="character" w:customStyle="1" w:styleId="30">
    <w:name w:val="纯文本 Char"/>
    <w:link w:val="11"/>
    <w:qFormat/>
    <w:uiPriority w:val="0"/>
    <w:rPr>
      <w:rFonts w:ascii="宋体" w:hAnsi="Courier New" w:eastAsia="幼圆"/>
      <w:kern w:val="2"/>
      <w:sz w:val="21"/>
    </w:rPr>
  </w:style>
  <w:style w:type="character" w:customStyle="1" w:styleId="31">
    <w:name w:val="批注框文本 Char"/>
    <w:link w:val="12"/>
    <w:qFormat/>
    <w:uiPriority w:val="99"/>
    <w:rPr>
      <w:rFonts w:ascii="等线" w:hAnsi="等线" w:eastAsia="等线"/>
      <w:kern w:val="2"/>
      <w:sz w:val="18"/>
      <w:szCs w:val="18"/>
    </w:rPr>
  </w:style>
  <w:style w:type="character" w:customStyle="1" w:styleId="32">
    <w:name w:val="页眉 Char"/>
    <w:link w:val="13"/>
    <w:qFormat/>
    <w:uiPriority w:val="0"/>
    <w:rPr>
      <w:kern w:val="2"/>
      <w:sz w:val="18"/>
      <w:szCs w:val="24"/>
    </w:rPr>
  </w:style>
  <w:style w:type="character" w:customStyle="1" w:styleId="33">
    <w:name w:val="正文文本缩进 3 Char"/>
    <w:link w:val="14"/>
    <w:qFormat/>
    <w:uiPriority w:val="0"/>
    <w:rPr>
      <w:rFonts w:ascii="仿宋_GB2312" w:hAnsi="MS Outlook" w:eastAsia="仿宋_GB2312"/>
      <w:spacing w:val="-20"/>
      <w:kern w:val="2"/>
      <w:sz w:val="32"/>
    </w:rPr>
  </w:style>
  <w:style w:type="character" w:customStyle="1" w:styleId="34">
    <w:name w:val="批注主题 Char"/>
    <w:link w:val="16"/>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19"/>
    <w:qFormat/>
    <w:uiPriority w:val="0"/>
    <w:rPr>
      <w:rFonts w:hint="default" w:ascii="Times New Roman" w:hAnsi="Times New Roman" w:cs="Times New Roman"/>
      <w:color w:val="000000"/>
      <w:sz w:val="28"/>
      <w:szCs w:val="28"/>
      <w:u w:val="none"/>
    </w:rPr>
  </w:style>
  <w:style w:type="character" w:customStyle="1" w:styleId="37">
    <w:name w:val="font51"/>
    <w:basedOn w:val="19"/>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basedOn w:val="19"/>
    <w:qFormat/>
    <w:uiPriority w:val="0"/>
    <w:rPr>
      <w:rFonts w:hint="default" w:ascii="Arial" w:hAnsi="Arial" w:cs="Arial"/>
      <w:color w:val="000000"/>
      <w:sz w:val="20"/>
      <w:szCs w:val="20"/>
      <w:u w:val="none"/>
    </w:rPr>
  </w:style>
  <w:style w:type="character" w:customStyle="1" w:styleId="45">
    <w:name w:val="page number"/>
    <w:basedOn w:val="19"/>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 w:type="paragraph" w:customStyle="1" w:styleId="56">
    <w:name w:val="样式 正文部分 + 左侧:  0.37 厘米 右侧:  0.37 厘米"/>
    <w:basedOn w:val="57"/>
    <w:qFormat/>
    <w:uiPriority w:val="0"/>
    <w:pPr>
      <w:ind w:left="100" w:leftChars="100" w:right="210" w:rightChars="100"/>
    </w:pPr>
  </w:style>
  <w:style w:type="paragraph" w:customStyle="1" w:styleId="57">
    <w:name w:val="正文部分"/>
    <w:basedOn w:val="11"/>
    <w:qFormat/>
    <w:uiPriority w:val="0"/>
    <w:pPr>
      <w:spacing w:before="120" w:after="120" w:line="360" w:lineRule="auto"/>
    </w:pPr>
    <w:rPr>
      <w:rFonts w:hAnsi="宋体"/>
      <w:sz w:val="24"/>
      <w:szCs w:val="20"/>
    </w:rPr>
  </w:style>
  <w:style w:type="paragraph" w:customStyle="1" w:styleId="58">
    <w:name w:val="样式1"/>
    <w:basedOn w:val="1"/>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6541</Words>
  <Characters>8568</Characters>
  <Lines>135</Lines>
  <Paragraphs>38</Paragraphs>
  <TotalTime>0</TotalTime>
  <ScaleCrop>false</ScaleCrop>
  <LinksUpToDate>false</LinksUpToDate>
  <CharactersWithSpaces>9286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无关风月</cp:lastModifiedBy>
  <cp:lastPrinted>2023-04-16T01:07:00Z</cp:lastPrinted>
  <dcterms:modified xsi:type="dcterms:W3CDTF">2023-08-30T01:27:11Z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eyJoZGlkIjoiZGZjZmY1ODY5YzJjZTRhNTAwN2Y3YmY0MDU0Zjc2MWMifQ==</vt:lpwstr>
  </property>
  <property fmtid="{D5CDD505-2E9C-101B-9397-08002B2CF9AE}" pid="4" name="ICV">
    <vt:lpwstr>1772A6EF89B443639C1793D66E231248_13</vt:lpwstr>
  </property>
</Properties>
</file>