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仿宋" w:hAnsi="仿宋" w:eastAsia="仿宋" w:cs="仿宋"/>
          <w:b/>
          <w:bCs/>
          <w:sz w:val="44"/>
          <w:szCs w:val="44"/>
          <w:lang w:eastAsia="zh-CN"/>
        </w:rPr>
      </w:pPr>
    </w:p>
    <w:p>
      <w:pPr>
        <w:spacing w:line="58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10"/>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10KV变频柜、分离器、仪表设备采购</w:t>
      </w:r>
    </w:p>
    <w:p>
      <w:pPr>
        <w:pStyle w:val="10"/>
        <w:ind w:firstLine="0" w:firstLineChars="0"/>
        <w:jc w:val="center"/>
        <w:rPr>
          <w:rFonts w:hint="eastAsia" w:ascii="仿宋" w:hAnsi="仿宋" w:eastAsia="仿宋" w:cs="仿宋"/>
          <w:b w:val="0"/>
          <w:bCs w:val="0"/>
          <w:sz w:val="36"/>
          <w:szCs w:val="36"/>
          <w:lang w:val="en-US" w:eastAsia="zh-CN"/>
        </w:rPr>
      </w:pPr>
    </w:p>
    <w:p>
      <w:pPr>
        <w:pStyle w:val="10"/>
        <w:ind w:firstLine="0" w:firstLineChars="0"/>
        <w:jc w:val="center"/>
        <w:rPr>
          <w:rFonts w:hint="eastAsia" w:ascii="仿宋" w:hAnsi="仿宋" w:eastAsia="仿宋" w:cs="仿宋"/>
          <w:b w:val="0"/>
          <w:bCs w:val="0"/>
          <w:sz w:val="36"/>
          <w:szCs w:val="36"/>
          <w:lang w:val="en-US" w:eastAsia="zh-CN"/>
        </w:rPr>
      </w:pPr>
    </w:p>
    <w:p>
      <w:pPr>
        <w:spacing w:line="580" w:lineRule="exact"/>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10"/>
        <w:ind w:firstLine="720"/>
        <w:rPr>
          <w:rFonts w:ascii="宋体" w:hAnsi="宋体" w:cs="宋体"/>
          <w:b/>
          <w:bCs/>
          <w:sz w:val="36"/>
          <w:szCs w:val="36"/>
          <w:lang w:eastAsia="zh-CN"/>
        </w:rPr>
      </w:pPr>
    </w:p>
    <w:p>
      <w:pPr>
        <w:pStyle w:val="10"/>
        <w:ind w:firstLine="440"/>
        <w:rPr>
          <w:lang w:eastAsia="zh-CN"/>
        </w:rPr>
      </w:pPr>
    </w:p>
    <w:p>
      <w:pPr>
        <w:pStyle w:val="10"/>
        <w:ind w:firstLine="440"/>
        <w:rPr>
          <w:lang w:eastAsia="zh-CN"/>
        </w:rPr>
      </w:pPr>
    </w:p>
    <w:p>
      <w:pPr>
        <w:spacing w:line="580" w:lineRule="exact"/>
        <w:jc w:val="both"/>
        <w:rPr>
          <w:rFonts w:hint="eastAsia" w:ascii="仿宋" w:hAnsi="仿宋" w:eastAsia="仿宋" w:cs="仿宋"/>
          <w:b/>
          <w:bCs/>
          <w:sz w:val="44"/>
          <w:szCs w:val="44"/>
          <w:lang w:eastAsia="zh-CN"/>
        </w:rPr>
      </w:pPr>
    </w:p>
    <w:p>
      <w:pPr>
        <w:spacing w:line="580" w:lineRule="exact"/>
        <w:ind w:firstLine="1767" w:firstLineChars="4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10"/>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10"/>
        <w:spacing w:after="0"/>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三</w:t>
      </w:r>
      <w:bookmarkStart w:id="4" w:name="_GoBack"/>
      <w:bookmarkEnd w:id="4"/>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bookmarkStart w:id="0" w:name="bookmark5"/>
      <w:r>
        <w:rPr>
          <w:rFonts w:hint="eastAsia" w:ascii="方正小标宋_GBK" w:hAnsi="方正小标宋_GBK" w:eastAsia="方正小标宋_GBK" w:cs="方正小标宋_GBK"/>
          <w:b w:val="0"/>
          <w:bCs w:val="0"/>
          <w:sz w:val="32"/>
          <w:szCs w:val="32"/>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640" w:firstLineChars="200"/>
        <w:jc w:val="center"/>
        <w:textAlignment w:val="auto"/>
        <w:rPr>
          <w:rFonts w:hint="eastAsia" w:ascii="方正小标宋_GBK" w:hAnsi="方正小标宋_GBK" w:eastAsia="方正小标宋_GBK" w:cs="方正小标宋_GBK"/>
          <w:b w:val="0"/>
          <w:bCs w:val="0"/>
          <w:sz w:val="32"/>
          <w:szCs w:val="32"/>
          <w:lang w:eastAsia="zh-CN"/>
        </w:rPr>
      </w:pPr>
      <w:r>
        <w:rPr>
          <w:rFonts w:hint="eastAsia" w:ascii="方正小标宋_GBK" w:hAnsi="方正小标宋_GBK" w:eastAsia="方正小标宋_GBK" w:cs="方正小标宋_GBK"/>
          <w:b w:val="0"/>
          <w:bCs w:val="0"/>
          <w:sz w:val="32"/>
          <w:szCs w:val="32"/>
          <w:lang w:val="en-US" w:eastAsia="zh-CN"/>
        </w:rPr>
        <w:t>10KV变频柜、卧式过滤分离器、起重机、一体化温度变送器、智能压力变送器、压力表</w:t>
      </w:r>
      <w:r>
        <w:rPr>
          <w:rFonts w:hint="eastAsia" w:ascii="方正小标宋_GBK" w:hAnsi="方正小标宋_GBK" w:eastAsia="方正小标宋_GBK" w:cs="方正小标宋_GBK"/>
          <w:b/>
          <w:bCs/>
          <w:sz w:val="32"/>
          <w:szCs w:val="32"/>
          <w:lang w:val="en-US" w:eastAsia="zh-CN"/>
        </w:rPr>
        <w:t>采</w:t>
      </w:r>
      <w:r>
        <w:rPr>
          <w:rFonts w:hint="eastAsia" w:ascii="方正小标宋_GBK" w:hAnsi="方正小标宋_GBK" w:eastAsia="方正小标宋_GBK" w:cs="方正小标宋_GBK"/>
          <w:b w:val="0"/>
          <w:bCs w:val="0"/>
          <w:sz w:val="32"/>
          <w:szCs w:val="32"/>
          <w:lang w:val="en-US" w:eastAsia="zh-CN"/>
        </w:rPr>
        <w:t>购报</w:t>
      </w:r>
      <w:r>
        <w:rPr>
          <w:rFonts w:hint="eastAsia" w:ascii="方正小标宋_GBK" w:hAnsi="方正小标宋_GBK" w:eastAsia="方正小标宋_GBK" w:cs="方正小标宋_GBK"/>
          <w:b w:val="0"/>
          <w:bCs w:val="0"/>
          <w:sz w:val="32"/>
          <w:szCs w:val="32"/>
          <w:lang w:eastAsia="zh-CN"/>
        </w:rPr>
        <w:t>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延145井区供输改造工程EPC总承包项目10KV变频柜、过滤分离器、起重机、一体化温度变送器、智能压力变送器、压力表采购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6"/>
        <w:tblW w:w="90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2"/>
        <w:gridCol w:w="879"/>
        <w:gridCol w:w="3760"/>
        <w:gridCol w:w="680"/>
        <w:gridCol w:w="574"/>
        <w:gridCol w:w="1040"/>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物资名称</w:t>
            </w:r>
          </w:p>
        </w:tc>
        <w:tc>
          <w:tcPr>
            <w:tcW w:w="3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规格型号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执行标准</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要 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卧式过滤分离器</w:t>
            </w:r>
          </w:p>
        </w:tc>
        <w:tc>
          <w:tcPr>
            <w:tcW w:w="3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设计压力：6.3MPa 操作压力：0.2~4.2MPa 设计/操作温度：（-19~50）℃/（5～50）℃处理规模：80×10</w:t>
            </w:r>
            <w:r>
              <w:rPr>
                <w:rFonts w:hint="eastAsia" w:ascii="宋体" w:hAnsi="宋体" w:eastAsia="宋体" w:cs="宋体"/>
                <w:i w:val="0"/>
                <w:iCs w:val="0"/>
                <w:color w:val="000000"/>
                <w:kern w:val="0"/>
                <w:sz w:val="36"/>
                <w:szCs w:val="36"/>
                <w:u w:val="none"/>
                <w:vertAlign w:val="superscript"/>
                <w:lang w:val="en-US" w:eastAsia="zh-CN" w:bidi="ar"/>
              </w:rPr>
              <w:t>4</w:t>
            </w:r>
            <w:r>
              <w:rPr>
                <w:rFonts w:hint="eastAsia" w:ascii="宋体" w:hAnsi="宋体" w:eastAsia="宋体" w:cs="宋体"/>
                <w:i w:val="0"/>
                <w:iCs w:val="0"/>
                <w:color w:val="000000"/>
                <w:kern w:val="0"/>
                <w:sz w:val="18"/>
                <w:szCs w:val="18"/>
                <w:u w:val="none"/>
                <w:lang w:val="en-US" w:eastAsia="zh-CN" w:bidi="ar"/>
              </w:rPr>
              <w:t>Nm</w:t>
            </w:r>
            <w:r>
              <w:rPr>
                <w:rFonts w:hint="eastAsia" w:ascii="宋体" w:hAnsi="宋体" w:eastAsia="宋体" w:cs="宋体"/>
                <w:i w:val="0"/>
                <w:iCs w:val="0"/>
                <w:color w:val="000000"/>
                <w:kern w:val="0"/>
                <w:sz w:val="36"/>
                <w:szCs w:val="36"/>
                <w:u w:val="none"/>
                <w:vertAlign w:val="superscript"/>
                <w:lang w:val="en-US" w:eastAsia="zh-CN" w:bidi="ar"/>
              </w:rPr>
              <w:t>3</w:t>
            </w:r>
            <w:r>
              <w:rPr>
                <w:rFonts w:hint="eastAsia" w:ascii="宋体" w:hAnsi="宋体" w:eastAsia="宋体" w:cs="宋体"/>
                <w:i w:val="0"/>
                <w:iCs w:val="0"/>
                <w:color w:val="000000"/>
                <w:kern w:val="0"/>
                <w:sz w:val="18"/>
                <w:szCs w:val="18"/>
                <w:u w:val="none"/>
                <w:lang w:val="en-US" w:eastAsia="zh-CN" w:bidi="ar"/>
              </w:rPr>
              <w:t>/d 操作压力：0.2~4.2MPa</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产品交付满足：技术规格书、数据表全部要求。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4" w:hRule="exac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tabs>
                <w:tab w:val="left" w:pos="491"/>
              </w:tabs>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10kv</w:t>
            </w:r>
            <w:r>
              <w:rPr>
                <w:rFonts w:hint="eastAsia" w:ascii="宋体" w:hAnsi="宋体" w:eastAsia="宋体" w:cs="宋体"/>
                <w:i w:val="0"/>
                <w:iCs w:val="0"/>
                <w:color w:val="000000"/>
                <w:sz w:val="18"/>
                <w:szCs w:val="18"/>
                <w:u w:val="none"/>
                <w:lang w:val="en-US" w:eastAsia="zh-CN"/>
              </w:rPr>
              <w:t>压缩机</w:t>
            </w:r>
            <w:r>
              <w:rPr>
                <w:rFonts w:hint="eastAsia" w:ascii="宋体" w:hAnsi="宋体" w:eastAsia="宋体" w:cs="宋体"/>
                <w:i w:val="0"/>
                <w:iCs w:val="0"/>
                <w:color w:val="000000"/>
                <w:sz w:val="18"/>
                <w:szCs w:val="18"/>
                <w:u w:val="none"/>
                <w:lang w:eastAsia="zh-CN"/>
              </w:rPr>
              <w:t>变频柜</w:t>
            </w:r>
          </w:p>
        </w:tc>
        <w:tc>
          <w:tcPr>
            <w:tcW w:w="3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 主电机功率 3550kw 一拖一变频器额定电流不小于压缩机额定电流 1.4 倍；</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2）提供电机的屏上启、停按钮;电机的就地启、停按钮。自动启停信号接线端子及泵的运行状态。</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 提供电机的工作电流，有功及无功电量信号类型为 RS485/MODBUS fo RTU</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详见：技术规格书、数据表、图纸、流程图</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产品交付满足：技术规格书、数据表、图纸、流程图内对产品交付规定全部要求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一体化温度变送器</w:t>
            </w:r>
          </w:p>
        </w:tc>
        <w:tc>
          <w:tcPr>
            <w:tcW w:w="3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精度：±0.1%；测量元件：Pt100；</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输出信号：4～20mA（两线制）</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支持 HART 协议，配套 LCD 液晶显示表头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防爆等级：ExdIIBT4/防护等级：IP65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电气接口尺寸：M20×1.5 内螺纹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内部带浪涌保护器</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外套管外径/材质：Φ18mm 316SS</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安装固定方式 ：法兰连接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厂家配套提供螺栓/螺母/垫片等安装附件</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量程：-30~100℃ </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插深：L=400mm（管道内部 250mm）</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测量介质：天然气</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法兰标准及等级：HG/T20592-2009 / PN63</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法兰尺寸及密封面：DN40 / RF</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整套发货</w:t>
            </w:r>
          </w:p>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7"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智能压力变送器</w:t>
            </w:r>
          </w:p>
        </w:tc>
        <w:tc>
          <w:tcPr>
            <w:tcW w:w="3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精度等级:± 0.075%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测量元件材质 : 316SS；</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输出信号: 4~20mA+hart /24VDC 二线制</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电气接口: M20x1.5(内)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过程连接: M20x1.5(外)</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防护等级: IP65</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防爆等级: ExdIIBT4</w:t>
            </w:r>
            <w:r>
              <w:rPr>
                <w:rFonts w:hint="eastAsia" w:ascii="宋体" w:hAnsi="宋体" w:eastAsia="宋体" w:cs="宋体"/>
                <w:i w:val="0"/>
                <w:iCs w:val="0"/>
                <w:color w:val="000000"/>
                <w:sz w:val="18"/>
                <w:szCs w:val="18"/>
                <w:u w:val="none"/>
                <w:lang w:val="en-US" w:eastAsia="zh-CN"/>
              </w:rPr>
              <w:t xml:space="preserve">  </w:t>
            </w:r>
            <w:r>
              <w:rPr>
                <w:rFonts w:hint="eastAsia" w:ascii="宋体" w:hAnsi="宋体" w:eastAsia="宋体" w:cs="宋体"/>
                <w:i w:val="0"/>
                <w:iCs w:val="0"/>
                <w:color w:val="000000"/>
                <w:sz w:val="18"/>
                <w:szCs w:val="18"/>
                <w:u w:val="none"/>
              </w:rPr>
              <w:t>配套液晶显示表头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量程: 0~6.0MPa</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测量介质: 天然气</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整套发货</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5</w:t>
            </w:r>
          </w:p>
        </w:tc>
        <w:tc>
          <w:tcPr>
            <w:tcW w:w="8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不锈钢压力表</w:t>
            </w:r>
          </w:p>
        </w:tc>
        <w:tc>
          <w:tcPr>
            <w:tcW w:w="3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表盘直径:φ150mm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精度:1.6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外壳材质: 304SS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过程连接: M20x1.5(外)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防护等级: IP65量程: 0~6.0MPa</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测量介质: 天然气</w:t>
            </w:r>
          </w:p>
        </w:tc>
        <w:tc>
          <w:tcPr>
            <w:tcW w:w="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5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lang w:val="en-US" w:eastAsia="zh-CN" w:bidi="ar-SA"/>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整套发货</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bidi="ar-SA"/>
              </w:rPr>
            </w:pPr>
            <w:r>
              <w:rPr>
                <w:rFonts w:hint="eastAsia" w:ascii="宋体" w:hAnsi="宋体" w:eastAsia="宋体" w:cs="宋体"/>
                <w:i w:val="0"/>
                <w:iCs w:val="0"/>
                <w:color w:val="000000"/>
                <w:sz w:val="18"/>
                <w:szCs w:val="18"/>
                <w:u w:val="none"/>
                <w:lang w:val="en-US" w:eastAsia="zh-CN"/>
              </w:rPr>
              <w:t>配件齐全</w:t>
            </w:r>
          </w:p>
        </w:tc>
      </w:tr>
      <w:bookmarkEnd w:id="0"/>
    </w:tbl>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w:t>
      </w:r>
      <w:r>
        <w:rPr>
          <w:rFonts w:hint="eastAsia" w:cs="宋体"/>
          <w:sz w:val="28"/>
          <w:szCs w:val="28"/>
          <w:highlight w:val="none"/>
          <w:lang w:val="en-US" w:eastAsia="zh-CN"/>
        </w:rPr>
        <w:t>延川县</w:t>
      </w:r>
      <w:r>
        <w:rPr>
          <w:rFonts w:hint="eastAsia" w:ascii="宋体" w:hAnsi="宋体" w:eastAsia="宋体" w:cs="宋体"/>
          <w:sz w:val="28"/>
          <w:szCs w:val="28"/>
          <w:highlight w:val="none"/>
          <w:lang w:val="en-US" w:eastAsia="zh-CN"/>
        </w:rPr>
        <w:t>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60</w:t>
      </w:r>
      <w:r>
        <w:rPr>
          <w:rFonts w:hint="eastAsia" w:ascii="宋体" w:hAnsi="宋体" w:eastAsia="宋体" w:cs="宋体"/>
          <w:sz w:val="28"/>
          <w:szCs w:val="28"/>
          <w:highlight w:val="none"/>
          <w:lang w:val="en-US" w:eastAsia="zh-CN"/>
        </w:rPr>
        <w:t>日内送到延安市延川县延145井区供输改造工程EPC总承包项目指定卸车点。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jc w:val="left"/>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（二）技术要求：过滤分离器、10kv变频柜、一体化温度变送器、智能压力变送器、不锈钢压力表。</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1.过滤分离器技术规格书、数据单文件号：SPE-0101MA00-01，DDS-0101MA00-02。</w:t>
      </w:r>
    </w:p>
    <w:p>
      <w:pPr>
        <w:keepNext w:val="0"/>
        <w:keepLines w:val="0"/>
        <w:pageBreakBefore w:val="0"/>
        <w:widowControl/>
        <w:suppressLineNumbers w:val="0"/>
        <w:kinsoku/>
        <w:wordWrap/>
        <w:overflowPunct/>
        <w:topLinePunct w:val="0"/>
        <w:autoSpaceDE/>
        <w:autoSpaceDN/>
        <w:bidi w:val="0"/>
        <w:adjustRightInd/>
        <w:snapToGrid/>
        <w:spacing w:after="0" w:afterAutospacing="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w w:val="90"/>
          <w:sz w:val="28"/>
          <w:szCs w:val="28"/>
          <w:highlight w:val="none"/>
          <w:lang w:val="en-US" w:eastAsia="zh-CN"/>
        </w:rPr>
        <w:t>2.10kv变频柜技术规格书文件号：SPE-0300EL03-01。</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报价要求：</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材料费、设备费、组装费、仓储保管费、运杂费、技术培训费、税费、利润等一切相关费用</w:t>
      </w:r>
      <w:r>
        <w:rPr>
          <w:rFonts w:hint="eastAsia" w:ascii="宋体" w:hAnsi="宋体" w:eastAsia="宋体" w:cs="宋体"/>
          <w:kern w:val="2"/>
          <w:sz w:val="28"/>
          <w:szCs w:val="28"/>
        </w:rPr>
        <w:t>，以及报价人在报价前明示或暗示的所有风险、责任和义务。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6.开具增值税专用发票。</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7.付款方式：合同签订后，产品全部交付经买方验收合格，卖方向买方出具全额增值税专用发票，买方支付验收合格产品货</w:t>
      </w:r>
      <w:r>
        <w:rPr>
          <w:rFonts w:hint="eastAsia" w:ascii="宋体" w:hAnsi="宋体" w:eastAsia="宋体" w:cs="宋体"/>
          <w:kern w:val="2"/>
          <w:sz w:val="28"/>
          <w:szCs w:val="28"/>
          <w:u w:val="none"/>
          <w:lang w:val="en-US" w:eastAsia="zh-CN" w:bidi="ar-SA"/>
        </w:rPr>
        <w:t>款的60%，产品安装调试完成经建设单位验收合格，支付验收合格产品货款的35%，剩余5%作为质保金。产品质量保证期限届满后，如未发生质量</w:t>
      </w:r>
      <w:r>
        <w:rPr>
          <w:rFonts w:hint="eastAsia" w:ascii="宋体" w:hAnsi="宋体" w:eastAsia="宋体" w:cs="宋体"/>
          <w:kern w:val="2"/>
          <w:sz w:val="28"/>
          <w:szCs w:val="28"/>
          <w:lang w:val="en-US" w:eastAsia="zh-CN" w:bidi="ar-SA"/>
        </w:rPr>
        <w:t>问题，买方一次性无息付清质保金。同时本项目付款依据建设单位资金支付情况，支付期间不计延期支付利息。卖方不能因为付款影响供货，延误项目工期。</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（三）厂家资质证明资料及近五年类似供货业绩不少于三个；</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ind w:firstLine="560" w:firstLineChars="200"/>
        <w:rPr>
          <w:lang w:eastAsia="zh-CN"/>
        </w:rPr>
      </w:pPr>
      <w:r>
        <w:rPr>
          <w:rFonts w:hint="eastAsia" w:ascii="宋体" w:hAnsi="宋体" w:eastAsia="宋体" w:cs="宋体"/>
          <w:b w:val="0"/>
          <w:bCs w:val="0"/>
          <w:sz w:val="28"/>
          <w:szCs w:val="28"/>
          <w:u w:val="none"/>
          <w:lang w:val="en-US" w:eastAsia="zh-CN"/>
        </w:rPr>
        <w:t>（六）</w:t>
      </w:r>
      <w:r>
        <w:rPr>
          <w:rFonts w:hint="eastAsia" w:ascii="宋体" w:hAnsi="宋体" w:eastAsia="宋体" w:cs="宋体"/>
          <w:sz w:val="28"/>
          <w:szCs w:val="28"/>
          <w:lang w:eastAsia="zh-CN"/>
        </w:rPr>
        <w:t>投标设备的详细说明，包括所投设备供应、设备的特点、设备的技术参数、响应功能、安装调试、售后服务等；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 xml:space="preserve"> 3 </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 15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 xml:space="preserve">9：00 </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 xml:space="preserve"> 3 </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 xml:space="preserve">  15  日 9：00 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numPr>
          <w:ilvl w:val="0"/>
          <w:numId w:val="5"/>
        </w:numPr>
        <w:spacing w:line="580" w:lineRule="exact"/>
        <w:ind w:firstLine="64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评审方法</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320" w:lineRule="exact"/>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spacing w:line="320" w:lineRule="exact"/>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cs="宋体"/>
                <w:sz w:val="21"/>
                <w:szCs w:val="21"/>
                <w:lang w:eastAsia="zh-CN"/>
              </w:rPr>
            </w:pPr>
            <w:r>
              <w:rPr>
                <w:rFonts w:hint="eastAsia" w:ascii="宋体" w:hAnsi="宋体" w:eastAsia="宋体" w:cs="宋体"/>
                <w:sz w:val="21"/>
                <w:szCs w:val="21"/>
              </w:rPr>
              <w:t>3.业绩真实有效</w:t>
            </w:r>
            <w:r>
              <w:rPr>
                <w:rFonts w:hint="eastAsia" w:cs="宋体"/>
                <w:sz w:val="21"/>
                <w:szCs w:val="21"/>
                <w:lang w:eastAsia="zh-CN"/>
              </w:rPr>
              <w:t>；</w:t>
            </w:r>
          </w:p>
          <w:p>
            <w:pPr>
              <w:pStyle w:val="10"/>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lang w:eastAsia="zh-CN"/>
              </w:rPr>
            </w:pPr>
            <w:r>
              <w:rPr>
                <w:rFonts w:hint="eastAsia" w:ascii="宋体" w:hAnsi="宋体" w:eastAsia="宋体" w:cs="宋体"/>
                <w:sz w:val="21"/>
                <w:szCs w:val="21"/>
                <w:lang w:val="en-US"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6"/>
              <w:overflowPunct w:val="0"/>
              <w:spacing w:line="400" w:lineRule="exact"/>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4</w:t>
            </w:r>
            <w:r>
              <w:rPr>
                <w:rFonts w:hint="eastAsia" w:ascii="宋体" w:hAnsi="宋体" w:eastAsia="宋体" w:cs="宋体"/>
                <w:sz w:val="21"/>
                <w:szCs w:val="21"/>
              </w:rPr>
              <w:t>0% + 商务分×</w:t>
            </w:r>
            <w:r>
              <w:rPr>
                <w:rFonts w:hint="eastAsia" w:ascii="宋体" w:hAnsi="宋体" w:eastAsia="宋体" w:cs="宋体"/>
                <w:sz w:val="21"/>
                <w:szCs w:val="21"/>
                <w:lang w:val="en-US" w:eastAsia="zh-CN"/>
              </w:rPr>
              <w:t>60</w:t>
            </w:r>
            <w:r>
              <w:rPr>
                <w:rFonts w:hint="eastAsia" w:ascii="宋体" w:hAnsi="宋体" w:eastAsia="宋体" w:cs="宋体"/>
                <w:sz w:val="21"/>
                <w:szCs w:val="21"/>
              </w:rPr>
              <w:t>% ，按四舍五入原则保留2位小数。</w:t>
            </w:r>
          </w:p>
        </w:tc>
      </w:tr>
    </w:tbl>
    <w:p>
      <w:pPr>
        <w:widowControl/>
        <w:shd w:val="clear" w:color="auto" w:fill="FFFFFF"/>
        <w:spacing w:line="360" w:lineRule="atLeast"/>
        <w:ind w:firstLine="3855" w:firstLineChars="1600"/>
        <w:rPr>
          <w:rFonts w:hint="eastAsia" w:ascii="宋体" w:hAnsi="宋体" w:eastAsia="宋体" w:cs="宋体"/>
          <w:b/>
          <w:bCs/>
          <w:kern w:val="0"/>
          <w:sz w:val="24"/>
          <w:szCs w:val="24"/>
        </w:rPr>
      </w:pPr>
    </w:p>
    <w:p>
      <w:pPr>
        <w:widowControl/>
        <w:shd w:val="clear" w:color="auto" w:fill="FFFFFF"/>
        <w:spacing w:line="360" w:lineRule="atLeast"/>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6"/>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widowControl/>
              <w:spacing w:line="30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69" w:hRule="atLeast"/>
          <w:jc w:val="right"/>
        </w:trPr>
        <w:tc>
          <w:tcPr>
            <w:tcW w:w="3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widowControl/>
              <w:spacing w:line="40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各投标人最终报价的算数平均值作</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w:t>
            </w:r>
            <w:r>
              <w:rPr>
                <w:rFonts w:hint="eastAsia" w:ascii="宋体" w:hAnsi="宋体" w:eastAsia="宋体" w:cs="宋体"/>
                <w:sz w:val="21"/>
                <w:szCs w:val="21"/>
                <w:lang w:eastAsia="zh-CN"/>
              </w:rPr>
              <w:t>低</w:t>
            </w:r>
            <w:r>
              <w:rPr>
                <w:rFonts w:hint="eastAsia" w:ascii="宋体" w:hAnsi="宋体" w:eastAsia="宋体" w:cs="宋体"/>
                <w:sz w:val="21"/>
                <w:szCs w:val="21"/>
              </w:rPr>
              <w:t>于投标基准价：每</w:t>
            </w:r>
            <w:r>
              <w:rPr>
                <w:rFonts w:hint="eastAsia" w:ascii="宋体" w:hAnsi="宋体" w:eastAsia="宋体" w:cs="宋体"/>
                <w:sz w:val="21"/>
                <w:szCs w:val="21"/>
                <w:lang w:eastAsia="zh-CN"/>
              </w:rPr>
              <w:t>低</w:t>
            </w:r>
            <w:r>
              <w:rPr>
                <w:rFonts w:hint="eastAsia" w:ascii="宋体" w:hAnsi="宋体" w:eastAsia="宋体" w:cs="宋体"/>
                <w:sz w:val="21"/>
                <w:szCs w:val="21"/>
              </w:rPr>
              <w:t>于基准价1%，扣</w:t>
            </w:r>
            <w:r>
              <w:rPr>
                <w:rFonts w:hint="eastAsia" w:ascii="宋体" w:hAnsi="宋体" w:eastAsia="宋体" w:cs="宋体"/>
                <w:sz w:val="21"/>
                <w:szCs w:val="21"/>
                <w:lang w:val="en-US" w:eastAsia="zh-CN"/>
              </w:rPr>
              <w:t>0.5</w:t>
            </w:r>
            <w:r>
              <w:rPr>
                <w:rFonts w:hint="eastAsia" w:ascii="宋体" w:hAnsi="宋体" w:eastAsia="宋体" w:cs="宋体"/>
                <w:sz w:val="21"/>
                <w:szCs w:val="21"/>
              </w:rPr>
              <w:t>分；</w:t>
            </w:r>
          </w:p>
          <w:p>
            <w:pPr>
              <w:pStyle w:val="10"/>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eastAsia"/>
              </w:rPr>
            </w:pPr>
            <w:r>
              <w:rPr>
                <w:rFonts w:hint="eastAsia" w:ascii="宋体" w:hAnsi="宋体" w:eastAsia="宋体" w:cs="宋体"/>
                <w:sz w:val="21"/>
                <w:szCs w:val="21"/>
              </w:rPr>
              <w:t>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widowControl/>
        <w:shd w:val="clear" w:color="auto" w:fill="FFFFFF"/>
        <w:spacing w:line="360" w:lineRule="atLeast"/>
        <w:ind w:firstLine="200"/>
        <w:jc w:val="center"/>
        <w:rPr>
          <w:rFonts w:hint="eastAsia" w:ascii="宋体" w:hAnsi="宋体" w:eastAsia="宋体" w:cs="宋体"/>
          <w:b/>
          <w:bCs/>
          <w:color w:val="auto"/>
          <w:kern w:val="0"/>
          <w:sz w:val="24"/>
          <w:szCs w:val="24"/>
          <w:highlight w:val="none"/>
        </w:rPr>
      </w:pPr>
    </w:p>
    <w:p>
      <w:pPr>
        <w:pStyle w:val="2"/>
        <w:rPr>
          <w:rFonts w:hint="eastAsia" w:ascii="宋体" w:hAnsi="宋体" w:eastAsia="宋体" w:cs="宋体"/>
          <w:b/>
          <w:bCs/>
          <w:color w:val="auto"/>
          <w:kern w:val="0"/>
          <w:sz w:val="24"/>
          <w:szCs w:val="24"/>
          <w:highlight w:val="none"/>
        </w:rPr>
      </w:pPr>
    </w:p>
    <w:p>
      <w:pPr>
        <w:rPr>
          <w:rFonts w:hint="eastAsia" w:ascii="宋体" w:hAnsi="宋体" w:eastAsia="宋体" w:cs="宋体"/>
          <w:b/>
          <w:bCs/>
          <w:color w:val="auto"/>
          <w:kern w:val="0"/>
          <w:sz w:val="24"/>
          <w:szCs w:val="24"/>
          <w:highlight w:val="none"/>
        </w:rPr>
      </w:pPr>
    </w:p>
    <w:p>
      <w:pPr>
        <w:widowControl/>
        <w:shd w:val="clear" w:color="auto" w:fill="FFFFFF"/>
        <w:spacing w:line="360" w:lineRule="atLeast"/>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6"/>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技术响应</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ascii="宋体" w:hAnsi="宋体" w:eastAsia="宋体" w:cs="宋体"/>
                <w:szCs w:val="21"/>
                <w:lang w:eastAsia="zh-CN"/>
              </w:rPr>
            </w:pPr>
            <w:r>
              <w:rPr>
                <w:rFonts w:hint="eastAsia" w:ascii="宋体" w:hAnsi="宋体" w:eastAsia="宋体" w:cs="宋体"/>
                <w:szCs w:val="21"/>
                <w:lang w:eastAsia="zh-CN"/>
              </w:rPr>
              <w:t>1.符合技术要求或高于技术要求的，不扣分；</w:t>
            </w:r>
          </w:p>
          <w:p>
            <w:pPr>
              <w:keepNext w:val="0"/>
              <w:keepLines w:val="0"/>
              <w:pageBreakBefore w:val="0"/>
              <w:widowControl/>
              <w:kinsoku/>
              <w:wordWrap/>
              <w:overflowPunct/>
              <w:topLinePunct w:val="0"/>
              <w:autoSpaceDE/>
              <w:autoSpaceDN/>
              <w:bidi w:val="0"/>
              <w:adjustRightInd/>
              <w:snapToGrid/>
              <w:spacing w:after="0" w:line="240" w:lineRule="auto"/>
              <w:ind w:left="-99" w:leftChars="-45" w:firstLine="110" w:firstLineChars="5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Cs w:val="21"/>
                <w:lang w:eastAsia="zh-CN"/>
              </w:rPr>
              <w:t>2.每出现一项不符合技术要求或达不到技术要求的，扣5分，直至扣完35分为止。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质量保证</w:t>
            </w:r>
          </w:p>
        </w:tc>
        <w:tc>
          <w:tcPr>
            <w:tcW w:w="705" w:type="dxa"/>
            <w:tcBorders>
              <w:tl2br w:val="nil"/>
              <w:tr2bl w:val="nil"/>
            </w:tcBorders>
            <w:tcMar>
              <w:top w:w="0" w:type="dxa"/>
              <w:left w:w="108" w:type="dxa"/>
              <w:bottom w:w="0" w:type="dxa"/>
              <w:right w:w="108" w:type="dxa"/>
            </w:tcMar>
            <w:vAlign w:val="center"/>
          </w:tcPr>
          <w:p>
            <w:pPr>
              <w:spacing w:after="0" w:line="300" w:lineRule="atLeast"/>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szCs w:val="21"/>
                <w:lang w:eastAsia="zh-CN"/>
              </w:rPr>
              <w:t>35</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numPr>
                <w:ilvl w:val="0"/>
                <w:numId w:val="0"/>
              </w:numPr>
              <w:spacing w:after="0" w:line="240" w:lineRule="auto"/>
              <w:ind w:leftChars="5"/>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所投设备通过产品测试、检验，出具了正式报告。</w:t>
            </w:r>
          </w:p>
          <w:p>
            <w:pPr>
              <w:numPr>
                <w:ilvl w:val="0"/>
                <w:numId w:val="0"/>
              </w:numPr>
              <w:spacing w:after="0" w:line="240" w:lineRule="auto"/>
              <w:ind w:leftChars="5"/>
              <w:rPr>
                <w:rFonts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所投设备加工工艺可靠，设备先进，检测手段齐全，符合制造验收规范。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3.重要、主要部件外配渠道可靠，产品质量有保证，符合国家相关标准规范。</w:t>
            </w:r>
          </w:p>
          <w:p>
            <w:pPr>
              <w:spacing w:after="0" w:line="240" w:lineRule="auto"/>
              <w:ind w:left="-99" w:leftChars="-45" w:firstLine="105" w:firstLineChars="50"/>
              <w:rPr>
                <w:rFonts w:ascii="宋体" w:hAnsi="宋体" w:eastAsia="宋体" w:cs="宋体"/>
                <w:sz w:val="21"/>
                <w:szCs w:val="21"/>
                <w:lang w:eastAsia="zh-CN"/>
              </w:rPr>
            </w:pPr>
            <w:r>
              <w:rPr>
                <w:rFonts w:hint="eastAsia" w:ascii="宋体" w:hAnsi="宋体" w:eastAsia="宋体" w:cs="宋体"/>
                <w:sz w:val="21"/>
                <w:szCs w:val="21"/>
                <w:lang w:eastAsia="zh-CN"/>
              </w:rPr>
              <w:t>4.经济实力较强，能够保证设备购置及供货。</w:t>
            </w:r>
          </w:p>
          <w:p>
            <w:pPr>
              <w:spacing w:after="0" w:line="240" w:lineRule="auto"/>
              <w:ind w:left="-99" w:leftChars="-45" w:firstLine="105" w:firstLineChars="50"/>
              <w:rPr>
                <w:rFonts w:hint="eastAsia" w:ascii="宋体" w:hAnsi="宋体" w:eastAsia="宋体" w:cs="宋体"/>
                <w:sz w:val="21"/>
                <w:szCs w:val="21"/>
                <w:lang w:val="en-US" w:eastAsia="zh-CN"/>
              </w:rPr>
            </w:pPr>
            <w:r>
              <w:rPr>
                <w:rFonts w:hint="eastAsia" w:ascii="宋体" w:hAnsi="宋体" w:eastAsia="宋体" w:cs="宋体"/>
                <w:sz w:val="21"/>
                <w:szCs w:val="21"/>
                <w:lang w:eastAsia="zh-CN"/>
              </w:rPr>
              <w:t>5.有足够能力的生产人员、技术人员支持，保证整体的安装、调试、开通运行，并达到各项设计及国家规范要求。</w:t>
            </w:r>
            <w:r>
              <w:rPr>
                <w:rFonts w:hint="eastAsia" w:ascii="宋体" w:hAnsi="宋体" w:eastAsia="宋体" w:cs="宋体"/>
                <w:sz w:val="21"/>
                <w:szCs w:val="21"/>
                <w:lang w:val="en-US" w:eastAsia="zh-CN"/>
              </w:rPr>
              <w:t xml:space="preserve">                 </w:t>
            </w:r>
          </w:p>
          <w:p>
            <w:pPr>
              <w:spacing w:after="0" w:line="240" w:lineRule="auto"/>
              <w:ind w:left="-99" w:leftChars="-45" w:firstLine="105" w:firstLineChars="50"/>
              <w:rPr>
                <w:rFonts w:hint="default" w:ascii="宋体" w:hAnsi="宋体" w:eastAsia="宋体" w:cs="宋体"/>
                <w:b w:val="0"/>
                <w:bCs w:val="0"/>
                <w:color w:val="auto"/>
                <w:sz w:val="21"/>
                <w:szCs w:val="21"/>
                <w:highlight w:val="none"/>
                <w:lang w:val="en-US"/>
              </w:rPr>
            </w:pPr>
            <w:r>
              <w:rPr>
                <w:rFonts w:hint="eastAsia" w:ascii="宋体" w:hAnsi="宋体" w:eastAsia="宋体" w:cs="宋体"/>
                <w:sz w:val="21"/>
                <w:szCs w:val="21"/>
                <w:lang w:eastAsia="zh-CN"/>
              </w:rPr>
              <w:t>横向比较各报价单位，分档赋分，优秀</w:t>
            </w:r>
            <w:r>
              <w:rPr>
                <w:rFonts w:hint="eastAsia" w:ascii="宋体" w:hAnsi="宋体" w:eastAsia="宋体" w:cs="宋体"/>
                <w:sz w:val="21"/>
                <w:szCs w:val="21"/>
                <w:lang w:val="en-US" w:eastAsia="zh-CN"/>
              </w:rPr>
              <w:t>25-35分，良好15-25分，一般0-15分。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lang w:eastAsia="zh-CN"/>
              </w:rPr>
              <w:t>售后及业绩</w:t>
            </w:r>
          </w:p>
        </w:tc>
        <w:tc>
          <w:tcPr>
            <w:tcW w:w="705" w:type="dxa"/>
            <w:tcBorders>
              <w:tl2br w:val="nil"/>
              <w:tr2bl w:val="nil"/>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kern w:val="0"/>
                <w:sz w:val="21"/>
                <w:szCs w:val="21"/>
                <w:highlight w:val="none"/>
              </w:rPr>
            </w:pPr>
            <w:r>
              <w:rPr>
                <w:rFonts w:hint="eastAsia" w:ascii="宋体" w:hAnsi="宋体" w:eastAsia="宋体" w:cs="宋体"/>
                <w:szCs w:val="21"/>
                <w:lang w:eastAsia="zh-CN"/>
              </w:rPr>
              <w:t>30</w:t>
            </w:r>
            <w:r>
              <w:rPr>
                <w:rFonts w:hint="eastAsia" w:ascii="宋体" w:hAnsi="宋体" w:eastAsia="宋体" w:cs="宋体"/>
                <w:szCs w:val="21"/>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1.近</w:t>
            </w:r>
            <w:r>
              <w:rPr>
                <w:rFonts w:hint="eastAsia" w:ascii="宋体" w:hAnsi="宋体" w:eastAsia="宋体" w:cs="宋体"/>
                <w:sz w:val="21"/>
                <w:szCs w:val="21"/>
                <w:lang w:val="en-US" w:eastAsia="zh-CN"/>
              </w:rPr>
              <w:t>五</w:t>
            </w:r>
            <w:r>
              <w:rPr>
                <w:rFonts w:hint="eastAsia" w:ascii="宋体" w:hAnsi="宋体" w:eastAsia="宋体" w:cs="宋体"/>
                <w:sz w:val="21"/>
                <w:szCs w:val="21"/>
                <w:lang w:eastAsia="zh-CN"/>
              </w:rPr>
              <w:t>年类似业绩不少于3个，产品使用效果良好，得到用户的好评（附合同或中标通知书复印件）。（15分）</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99" w:leftChars="-45" w:firstLine="105" w:firstLineChars="50"/>
              <w:textAlignment w:val="auto"/>
              <w:rPr>
                <w:rFonts w:ascii="宋体" w:hAnsi="宋体" w:eastAsia="宋体" w:cs="宋体"/>
                <w:sz w:val="21"/>
                <w:szCs w:val="21"/>
                <w:lang w:eastAsia="zh-CN"/>
              </w:rPr>
            </w:pPr>
            <w:r>
              <w:rPr>
                <w:rFonts w:hint="eastAsia" w:ascii="宋体" w:hAnsi="宋体" w:eastAsia="宋体" w:cs="宋体"/>
                <w:sz w:val="21"/>
                <w:szCs w:val="21"/>
                <w:lang w:eastAsia="zh-CN"/>
              </w:rPr>
              <w:t>2.针对本项目建立了专职机构，配备专门的技术人员，保障正常运行；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val="0"/>
                <w:bCs w:val="0"/>
                <w:color w:val="auto"/>
                <w:sz w:val="21"/>
                <w:szCs w:val="21"/>
                <w:highlight w:val="none"/>
              </w:rPr>
            </w:pPr>
            <w:r>
              <w:rPr>
                <w:rFonts w:hint="eastAsia" w:ascii="宋体" w:hAnsi="宋体" w:eastAsia="宋体" w:cs="宋体"/>
                <w:sz w:val="21"/>
                <w:szCs w:val="21"/>
                <w:lang w:eastAsia="zh-CN"/>
              </w:rPr>
              <w:t>售后服务承诺具体、可行，且其备品备件价格、供应等方面附有优惠条件。</w:t>
            </w:r>
            <w:r>
              <w:rPr>
                <w:rFonts w:hint="eastAsia" w:ascii="宋体" w:hAnsi="宋体" w:eastAsia="宋体" w:cs="宋体"/>
                <w:sz w:val="21"/>
                <w:szCs w:val="21"/>
              </w:rPr>
              <w:t>（</w:t>
            </w:r>
            <w:r>
              <w:rPr>
                <w:rFonts w:hint="eastAsia" w:ascii="宋体" w:hAnsi="宋体" w:eastAsia="宋体" w:cs="宋体"/>
                <w:sz w:val="21"/>
                <w:szCs w:val="21"/>
                <w:lang w:eastAsia="zh-CN"/>
              </w:rPr>
              <w:t>1</w:t>
            </w:r>
            <w:r>
              <w:rPr>
                <w:rFonts w:hint="eastAsia" w:cs="宋体"/>
                <w:sz w:val="21"/>
                <w:szCs w:val="21"/>
                <w:lang w:val="en-US" w:eastAsia="zh-CN"/>
              </w:rPr>
              <w:t>5</w:t>
            </w:r>
            <w:r>
              <w:rPr>
                <w:rFonts w:hint="eastAsia" w:ascii="宋体" w:hAnsi="宋体" w:eastAsia="宋体" w:cs="宋体"/>
                <w:sz w:val="21"/>
                <w:szCs w:val="21"/>
              </w:rPr>
              <w:t>分）</w:t>
            </w:r>
            <w:r>
              <w:rPr>
                <w:rFonts w:hint="eastAsia" w:ascii="宋体" w:hAnsi="宋体" w:eastAsia="宋体" w:cs="宋体"/>
                <w:sz w:val="21"/>
                <w:szCs w:val="21"/>
                <w:lang w:eastAsia="zh-CN"/>
              </w:rPr>
              <w:t>横向比较各报价单位，分档赋分，优秀</w:t>
            </w:r>
            <w:r>
              <w:rPr>
                <w:rFonts w:hint="eastAsia" w:cs="宋体"/>
                <w:sz w:val="21"/>
                <w:szCs w:val="21"/>
                <w:lang w:val="en-US" w:eastAsia="zh-CN"/>
              </w:rPr>
              <w:t>10</w:t>
            </w:r>
            <w:r>
              <w:rPr>
                <w:rFonts w:hint="eastAsia" w:ascii="宋体" w:hAnsi="宋体" w:eastAsia="宋体" w:cs="宋体"/>
                <w:sz w:val="21"/>
                <w:szCs w:val="21"/>
                <w:lang w:val="en-US" w:eastAsia="zh-CN"/>
              </w:rPr>
              <w:t>-</w:t>
            </w:r>
            <w:r>
              <w:rPr>
                <w:rFonts w:hint="eastAsia" w:cs="宋体"/>
                <w:sz w:val="21"/>
                <w:szCs w:val="21"/>
                <w:lang w:val="en-US" w:eastAsia="zh-CN"/>
              </w:rPr>
              <w:t>15</w:t>
            </w:r>
            <w:r>
              <w:rPr>
                <w:rFonts w:hint="eastAsia" w:ascii="宋体" w:hAnsi="宋体" w:eastAsia="宋体" w:cs="宋体"/>
                <w:sz w:val="21"/>
                <w:szCs w:val="21"/>
                <w:lang w:val="en-US" w:eastAsia="zh-CN"/>
              </w:rPr>
              <w:t>分，良好</w:t>
            </w:r>
            <w:r>
              <w:rPr>
                <w:rFonts w:hint="eastAsia" w:cs="宋体"/>
                <w:sz w:val="21"/>
                <w:szCs w:val="21"/>
                <w:lang w:val="en-US" w:eastAsia="zh-CN"/>
              </w:rPr>
              <w:t>5</w:t>
            </w:r>
            <w:r>
              <w:rPr>
                <w:rFonts w:hint="eastAsia" w:ascii="宋体" w:hAnsi="宋体" w:eastAsia="宋体" w:cs="宋体"/>
                <w:sz w:val="21"/>
                <w:szCs w:val="21"/>
                <w:lang w:val="en-US" w:eastAsia="zh-CN"/>
              </w:rPr>
              <w:t>-</w:t>
            </w:r>
            <w:r>
              <w:rPr>
                <w:rFonts w:hint="eastAsia" w:cs="宋体"/>
                <w:sz w:val="21"/>
                <w:szCs w:val="21"/>
                <w:lang w:val="en-US" w:eastAsia="zh-CN"/>
              </w:rPr>
              <w:t>10</w:t>
            </w:r>
            <w:r>
              <w:rPr>
                <w:rFonts w:hint="eastAsia" w:ascii="宋体" w:hAnsi="宋体" w:eastAsia="宋体" w:cs="宋体"/>
                <w:sz w:val="21"/>
                <w:szCs w:val="21"/>
                <w:lang w:val="en-US" w:eastAsia="zh-CN"/>
              </w:rPr>
              <w:t>分，一般0-</w:t>
            </w:r>
            <w:r>
              <w:rPr>
                <w:rFonts w:hint="eastAsia" w:cs="宋体"/>
                <w:sz w:val="21"/>
                <w:szCs w:val="21"/>
                <w:lang w:val="en-US" w:eastAsia="zh-CN"/>
              </w:rPr>
              <w:t>5</w:t>
            </w:r>
            <w:r>
              <w:rPr>
                <w:rFonts w:hint="eastAsia" w:ascii="宋体" w:hAnsi="宋体" w:eastAsia="宋体" w:cs="宋体"/>
                <w:sz w:val="21"/>
                <w:szCs w:val="21"/>
                <w:lang w:val="en-US" w:eastAsia="zh-CN"/>
              </w:rPr>
              <w:t>分。</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各单位业绩、实力、技术质量保证、售后承诺等方面综合评判，选定设备综合性价比较高的单位为本项目供应商。</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2023年3月7日</w:t>
      </w: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p>
    <w:p>
      <w:pPr>
        <w:ind w:firstLine="6425" w:firstLineChars="20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52"/>
          <w:szCs w:val="52"/>
          <w:highlight w:val="none"/>
          <w:lang w:val="en-US" w:eastAsia="zh-CN"/>
        </w:rPr>
      </w:pPr>
      <w:r>
        <w:rPr>
          <w:rFonts w:hint="eastAsia" w:ascii="宋体" w:hAnsi="宋体" w:eastAsia="宋体" w:cs="宋体"/>
          <w:b/>
          <w:bCs/>
          <w:color w:val="auto"/>
          <w:sz w:val="52"/>
          <w:szCs w:val="52"/>
          <w:highlight w:val="none"/>
          <w:lang w:val="en-US" w:eastAsia="zh-CN"/>
        </w:rPr>
        <w:t>延145井区供输改造工程EPC总承包项目10KV变频柜、卧式过滤分离器、一体化温度变送器、智能压力变送器、压力表采购</w:t>
      </w:r>
    </w:p>
    <w:p>
      <w:pPr>
        <w:jc w:val="center"/>
        <w:rPr>
          <w:rFonts w:hint="eastAsia" w:ascii="宋体" w:hAnsi="宋体" w:eastAsia="宋体" w:cs="宋体"/>
          <w:b/>
          <w:bCs/>
          <w:color w:val="auto"/>
          <w:sz w:val="52"/>
          <w:szCs w:val="52"/>
          <w:highlight w:val="none"/>
          <w:lang w:eastAsia="zh-CN"/>
        </w:rPr>
      </w:pPr>
    </w:p>
    <w:p>
      <w:pPr>
        <w:ind w:firstLine="2610" w:firstLineChars="500"/>
        <w:jc w:val="both"/>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eastAsia="zh-CN"/>
        </w:rPr>
        <w:t>谈判响应</w:t>
      </w:r>
      <w:r>
        <w:rPr>
          <w:rFonts w:hint="eastAsia" w:ascii="宋体" w:hAnsi="宋体" w:eastAsia="宋体" w:cs="宋体"/>
          <w:b/>
          <w:bCs/>
          <w:color w:val="auto"/>
          <w:sz w:val="52"/>
          <w:szCs w:val="52"/>
          <w:highlight w:val="none"/>
        </w:rPr>
        <w:t>文件</w:t>
      </w:r>
    </w:p>
    <w:p>
      <w:pP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w:t>
      </w:r>
    </w:p>
    <w:p>
      <w:pPr>
        <w:jc w:val="center"/>
        <w:rPr>
          <w:rFonts w:hint="eastAsia" w:ascii="宋体" w:hAnsi="宋体" w:eastAsia="宋体" w:cs="宋体"/>
          <w:b/>
          <w:bCs/>
          <w:color w:val="auto"/>
          <w:sz w:val="36"/>
          <w:szCs w:val="36"/>
          <w:highlight w:val="none"/>
        </w:rPr>
      </w:pPr>
    </w:p>
    <w:p>
      <w:pPr>
        <w:rPr>
          <w:rFonts w:hint="default" w:ascii="宋体" w:hAnsi="宋体" w:eastAsia="宋体" w:cs="宋体"/>
          <w:b/>
          <w:bCs/>
          <w:color w:val="auto"/>
          <w:sz w:val="36"/>
          <w:szCs w:val="36"/>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8"/>
          <w:szCs w:val="48"/>
          <w:lang w:eastAsia="zh-CN"/>
        </w:rPr>
      </w:pPr>
      <w:r>
        <w:rPr>
          <w:rFonts w:hint="eastAsia" w:ascii="宋体" w:hAnsi="宋体" w:eastAsia="宋体" w:cs="宋体"/>
          <w:b/>
          <w:bCs/>
          <w:sz w:val="48"/>
          <w:szCs w:val="48"/>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8"/>
          <w:szCs w:val="48"/>
          <w:highlight w:val="none"/>
        </w:rPr>
        <w:t>二〇</w:t>
      </w:r>
      <w:r>
        <w:rPr>
          <w:rFonts w:hint="eastAsia" w:ascii="宋体" w:hAnsi="宋体" w:eastAsia="宋体" w:cs="宋体"/>
          <w:b/>
          <w:bCs/>
          <w:color w:val="auto"/>
          <w:sz w:val="48"/>
          <w:szCs w:val="48"/>
          <w:highlight w:val="none"/>
          <w:lang w:eastAsia="zh-CN"/>
        </w:rPr>
        <w:t>二</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年</w:t>
      </w:r>
      <w:r>
        <w:rPr>
          <w:rFonts w:hint="eastAsia" w:ascii="宋体" w:hAnsi="宋体" w:eastAsia="宋体" w:cs="宋体"/>
          <w:b/>
          <w:bCs/>
          <w:color w:val="auto"/>
          <w:sz w:val="48"/>
          <w:szCs w:val="48"/>
          <w:highlight w:val="none"/>
          <w:lang w:val="en-US" w:eastAsia="zh-CN"/>
        </w:rPr>
        <w:t>三</w:t>
      </w:r>
      <w:r>
        <w:rPr>
          <w:rFonts w:hint="eastAsia" w:ascii="宋体" w:hAnsi="宋体" w:eastAsia="宋体" w:cs="宋体"/>
          <w:b/>
          <w:bCs/>
          <w:color w:val="auto"/>
          <w:sz w:val="48"/>
          <w:szCs w:val="48"/>
          <w:highlight w:val="none"/>
        </w:rPr>
        <w:t>月</w:t>
      </w:r>
      <w:r>
        <w:rPr>
          <w:rFonts w:hint="eastAsia" w:ascii="宋体" w:hAnsi="宋体" w:eastAsia="宋体" w:cs="宋体"/>
          <w:b/>
          <w:color w:val="auto"/>
          <w:sz w:val="36"/>
          <w:szCs w:val="36"/>
          <w:highlight w:val="none"/>
        </w:rPr>
        <w:br w:type="page"/>
      </w:r>
    </w:p>
    <w:p>
      <w:pPr>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spacing w:line="36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spacing w:line="36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numPr>
          <w:ilvl w:val="0"/>
          <w:numId w:val="0"/>
        </w:numPr>
        <w:adjustRightInd w:val="0"/>
        <w:snapToGrid w:val="0"/>
        <w:spacing w:line="440" w:lineRule="exact"/>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numPr>
          <w:ilvl w:val="0"/>
          <w:numId w:val="0"/>
        </w:numPr>
        <w:adjustRightInd w:val="0"/>
        <w:snapToGrid w:val="0"/>
        <w:spacing w:line="440" w:lineRule="exact"/>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spacing w:line="36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报价设备的详细说明</w:t>
      </w:r>
    </w:p>
    <w:p>
      <w:pPr>
        <w:pStyle w:val="10"/>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10"/>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p>
      <w:pPr>
        <w:pStyle w:val="3"/>
        <w:rPr>
          <w:rFonts w:hint="eastAsia" w:ascii="宋体" w:hAnsi="宋体" w:eastAsia="宋体" w:cs="宋体"/>
          <w:color w:val="auto"/>
          <w:highlight w:val="none"/>
        </w:rPr>
      </w:pPr>
    </w:p>
    <w:bookmarkEnd w:id="1"/>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10KV变频柜、卧式过滤分离器、起重机、一体化温度变送器、智能压力变送器、压力表采购采购报价单</w:t>
      </w:r>
    </w:p>
    <w:p>
      <w:pPr>
        <w:keepNext w:val="0"/>
        <w:keepLines w:val="0"/>
        <w:pageBreakBefore w:val="0"/>
        <w:kinsoku/>
        <w:wordWrap/>
        <w:bidi w:val="0"/>
        <w:spacing w:after="0" w:line="240" w:lineRule="auto"/>
        <w:ind w:right="0" w:rightChars="0" w:firstLine="7308" w:firstLineChars="26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单位：元</w:t>
      </w:r>
    </w:p>
    <w:tbl>
      <w:tblPr>
        <w:tblStyle w:val="6"/>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2" w:hRule="exact"/>
        </w:trPr>
        <w:tc>
          <w:tcPr>
            <w:tcW w:w="4129" w:type="dxa"/>
            <w:noWrap w:val="0"/>
            <w:vAlign w:val="center"/>
          </w:tcPr>
          <w:p>
            <w:pPr>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延145井区供输改造工程EPC总承包项目10KV变频柜、卧式过滤分离器、一体化温度变送器、智能压力变送器、压力表采购</w:t>
            </w: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2"/>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延145井区供输改造工程EPC总承包项目10KV变频柜、卧式过滤分离器、起重机、一体化温度变送器、智能压力变送器、压力表采购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15395"/>
      <w:bookmarkStart w:id="3" w:name="_Toc23922"/>
      <w:r>
        <w:rPr>
          <w:rFonts w:hint="eastAsia" w:ascii="宋体" w:hAnsi="宋体" w:eastAsia="宋体" w:cs="宋体"/>
          <w:sz w:val="21"/>
          <w:szCs w:val="24"/>
        </w:rPr>
        <w:t>共  页，第  页</w:t>
      </w:r>
      <w:bookmarkEnd w:id="2"/>
      <w:bookmarkEnd w:id="3"/>
    </w:p>
    <w:tbl>
      <w:tblPr>
        <w:tblStyle w:val="6"/>
        <w:tblW w:w="15308" w:type="dxa"/>
        <w:tblInd w:w="-10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380"/>
        <w:gridCol w:w="3135"/>
        <w:gridCol w:w="1907"/>
        <w:gridCol w:w="2160"/>
        <w:gridCol w:w="1160"/>
        <w:gridCol w:w="720"/>
        <w:gridCol w:w="920"/>
        <w:gridCol w:w="1573"/>
        <w:gridCol w:w="1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3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6"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卧式过滤分离器</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设计压力：6.3MPa 操作压力：0.2~4.2MPa 设计/操作温度：（-19~50）℃/（5～50）℃处理规模：80×104Nm3/d 操作压力：0.2~4.2MPa</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7"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10kv变频柜</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 主电机功率 3550kw 一拖一变频器额定电流不小于压缩机额定电流 1.4 倍；（2）提供电机的屏上启、停按钮;电机的2就地启、停按钮。自动启停信号接线端子及泵的运行状态。（3) 提供电机的工作电流，有功及无功电量信号类型为 RS485/MODBUS fo RTU2）提供电机的屏上启、停按钮;电机的2就地启、停按钮。自动启停信号接线端子及泵的运行状态。</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 提供电机的工作电流，有功及无功电量信号类型为 RS485/MODBUS fo RTU</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2"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一体化温度变送器</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精度：±0.1%；测量元件：Pt100；</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输出信号：4～20mA（两线制）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支持 HART 协议，配套 LCD 液晶显示表头</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防爆等级：ExdIIBT4/防护等级：IP65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电气接口尺寸：M20×1.5 内螺纹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内部带浪涌保护器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外套管外径/材质：Φ18mm 316SS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安装固定方式 ：法兰连接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厂家配套提供螺栓/螺母/垫片等安装附件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量程：-30~100℃ </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插深：L=400mm（管道内部 250mm）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测量介质：天然气</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法兰标准及等级：HG/T20592-2009 / PN63</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法兰尺寸及密封面：DN40 / RF</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6"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智能压力变送器</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精度等级:± 0.075%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测量元件材质 : 316SS；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输出信号: 4~20mA+hart /24VDC 二线制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电气接口: M20x1.5(内)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过程连接: M20x1.5(外)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防护等级: IP65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防爆等级: ExdIIBT4配套液晶显示表头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量程: 0~6.0MPa</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测量介质: 天然气</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1" w:hRule="exac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不锈钢压力表</w:t>
            </w:r>
          </w:p>
        </w:tc>
        <w:tc>
          <w:tcPr>
            <w:tcW w:w="3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表盘直径:0150mm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精度:1.6</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外壳材质: 304SS</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过程连接: M20x1.5(外)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防护等级: IP65量程: 0~6.0MPa</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测量介质: 天然气</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延145井区供输改造工程EPC总承包项目10KV变频柜、卧式过滤分离器、一体化温度变送器、智能压力变送器、压力表采购设备</w:t>
      </w:r>
      <w:r>
        <w:rPr>
          <w:rFonts w:hint="eastAsia" w:ascii="宋体" w:hAnsi="宋体" w:eastAsia="宋体" w:cs="宋体"/>
          <w:sz w:val="28"/>
          <w:szCs w:val="28"/>
          <w:u w:val="single" w:color="auto"/>
          <w:lang w:val="en-US" w:eastAsia="zh-CN"/>
        </w:rPr>
        <w:t xml:space="preserve">采购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10"/>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10"/>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pStyle w:val="10"/>
        <w:ind w:left="0" w:leftChars="0" w:firstLine="0" w:firstLineChars="0"/>
        <w:jc w:val="center"/>
        <w:rPr>
          <w:rFonts w:hint="eastAsia" w:ascii="宋体" w:hAnsi="宋体" w:eastAsia="宋体" w:cs="宋体"/>
          <w:sz w:val="32"/>
          <w:szCs w:val="32"/>
          <w:lang w:val="en-US" w:eastAsia="zh-CN"/>
        </w:rPr>
      </w:pPr>
    </w:p>
    <w:p>
      <w:pPr>
        <w:numPr>
          <w:ilvl w:val="0"/>
          <w:numId w:val="0"/>
        </w:numPr>
        <w:adjustRightInd w:val="0"/>
        <w:snapToGrid w:val="0"/>
        <w:spacing w:line="440" w:lineRule="exact"/>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六、报价设备的详细说明</w:t>
      </w:r>
    </w:p>
    <w:p>
      <w:pPr>
        <w:adjustRightInd w:val="0"/>
        <w:snapToGrid w:val="0"/>
        <w:spacing w:line="440" w:lineRule="exact"/>
        <w:jc w:val="both"/>
        <w:rPr>
          <w:rFonts w:ascii="宋体" w:hAnsi="宋体" w:eastAsia="宋体" w:cs="宋体"/>
          <w:sz w:val="28"/>
          <w:szCs w:val="28"/>
          <w:lang w:eastAsia="zh-CN"/>
        </w:rPr>
      </w:pPr>
      <w:r>
        <w:rPr>
          <w:rFonts w:hint="eastAsia" w:ascii="宋体" w:hAnsi="宋体" w:eastAsia="宋体" w:cs="宋体"/>
          <w:sz w:val="28"/>
          <w:szCs w:val="28"/>
          <w:lang w:eastAsia="zh-CN"/>
        </w:rPr>
        <w:t>1.制造商情况、相关资质等；</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2.设备特点、技术参数、性能指标、配置、功能等详细介绍；</w:t>
      </w:r>
    </w:p>
    <w:p>
      <w:pPr>
        <w:widowControl w:val="0"/>
        <w:kinsoku w:val="0"/>
        <w:spacing w:line="580" w:lineRule="exact"/>
        <w:rPr>
          <w:rFonts w:ascii="宋体" w:hAnsi="宋体" w:eastAsia="宋体" w:cs="宋体"/>
          <w:sz w:val="28"/>
          <w:szCs w:val="28"/>
          <w:lang w:eastAsia="zh-CN"/>
        </w:rPr>
      </w:pPr>
      <w:r>
        <w:rPr>
          <w:rFonts w:hint="eastAsia" w:ascii="宋体" w:hAnsi="宋体" w:eastAsia="宋体" w:cs="宋体"/>
          <w:sz w:val="28"/>
          <w:szCs w:val="28"/>
          <w:lang w:eastAsia="zh-CN"/>
        </w:rPr>
        <w:t>3.设备供应、安装调试保证措施；</w:t>
      </w:r>
    </w:p>
    <w:p>
      <w:pPr>
        <w:pStyle w:val="10"/>
        <w:ind w:firstLine="0" w:firstLineChars="0"/>
        <w:rPr>
          <w:lang w:eastAsia="zh-CN"/>
        </w:rPr>
      </w:pPr>
      <w:r>
        <w:rPr>
          <w:rFonts w:hint="eastAsia" w:ascii="宋体" w:hAnsi="宋体" w:eastAsia="宋体" w:cs="宋体"/>
          <w:sz w:val="28"/>
          <w:szCs w:val="28"/>
          <w:lang w:eastAsia="zh-CN"/>
        </w:rPr>
        <w:t>4.技术培训、售后服务承诺等。</w:t>
      </w: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pStyle w:val="10"/>
        <w:rPr>
          <w:rFonts w:hint="eastAsia" w:ascii="宋体" w:hAnsi="宋体" w:eastAsia="宋体" w:cs="宋体"/>
          <w:color w:val="auto"/>
          <w:sz w:val="32"/>
          <w:szCs w:val="32"/>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insoku w:val="0"/>
        <w:spacing w:line="580" w:lineRule="exact"/>
        <w:rPr>
          <w:rFonts w:hint="eastAsia" w:ascii="宋体" w:hAnsi="宋体" w:eastAsia="宋体" w:cs="宋体"/>
          <w:color w:val="auto"/>
          <w:sz w:val="24"/>
          <w:szCs w:val="24"/>
          <w:highlight w:val="none"/>
        </w:rPr>
      </w:pPr>
    </w:p>
    <w:p>
      <w:pPr>
        <w:pStyle w:val="2"/>
        <w:rPr>
          <w:rFonts w:hint="eastAsia"/>
        </w:rPr>
      </w:pPr>
    </w:p>
    <w:p>
      <w:pPr>
        <w:pStyle w:val="10"/>
        <w:rPr>
          <w:rFonts w:hint="eastAsia"/>
        </w:rPr>
      </w:pPr>
    </w:p>
    <w:p>
      <w:pPr>
        <w:pStyle w:val="10"/>
        <w:rPr>
          <w:rFonts w:hint="eastAsia"/>
        </w:rPr>
      </w:pPr>
    </w:p>
    <w:p>
      <w:pPr>
        <w:pStyle w:val="12"/>
        <w:numPr>
          <w:ilvl w:val="0"/>
          <w:numId w:val="0"/>
        </w:numPr>
        <w:spacing w:line="580" w:lineRule="exact"/>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ascii="宋体" w:hAnsi="宋体" w:eastAsia="宋体" w:cs="宋体"/>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10KV变频柜、卧式过滤分离器、一体化温度变送器、智能压力变送器、压力表采购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延145井区供输改造工程EPC总承包项目10KV变频柜、卧式过滤分离器、一体化温度变送器、智能压力变送器、压力表</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10"/>
        <w:rPr>
          <w:rFonts w:hint="eastAsia" w:ascii="宋体" w:hAnsi="宋体" w:eastAsia="宋体" w:cs="宋体"/>
          <w:sz w:val="28"/>
          <w:szCs w:val="28"/>
          <w:lang w:val="en-US" w:eastAsia="zh-CN"/>
        </w:rPr>
      </w:pPr>
    </w:p>
    <w:p>
      <w:pPr>
        <w:pStyle w:val="10"/>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1" w:fontKey="{759699CF-14F7-4F89-98AE-4F1D3CB5E769}"/>
  </w:font>
  <w:font w:name="方正小标宋_GBK">
    <w:panose1 w:val="02000000000000000000"/>
    <w:charset w:val="86"/>
    <w:family w:val="auto"/>
    <w:pitch w:val="default"/>
    <w:sig w:usb0="A00002BF" w:usb1="38CF7CFA" w:usb2="00082016" w:usb3="00000000" w:csb0="00040001" w:csb1="00000000"/>
    <w:embedRegular r:id="rId2" w:fontKey="{C9D0BD08-C707-41F9-B10F-A9BE984EBBBF}"/>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2FD2EC3"/>
    <w:multiLevelType w:val="singleLevel"/>
    <w:tmpl w:val="72FD2EC3"/>
    <w:lvl w:ilvl="0" w:tentative="0">
      <w:start w:val="3"/>
      <w:numFmt w:val="chineseCounting"/>
      <w:suff w:val="nothing"/>
      <w:lvlText w:val="%1、"/>
      <w:lvlJc w:val="left"/>
      <w:rPr>
        <w:rFonts w:hint="eastAsia"/>
      </w:rPr>
    </w:lvl>
  </w:abstractNum>
  <w:abstractNum w:abstractNumId="4">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70591"/>
    <w:rsid w:val="00800C65"/>
    <w:rsid w:val="009D248F"/>
    <w:rsid w:val="02D7544B"/>
    <w:rsid w:val="03452055"/>
    <w:rsid w:val="04163FD7"/>
    <w:rsid w:val="04392773"/>
    <w:rsid w:val="0510391D"/>
    <w:rsid w:val="061471C9"/>
    <w:rsid w:val="06540E18"/>
    <w:rsid w:val="06AA3D29"/>
    <w:rsid w:val="0798099B"/>
    <w:rsid w:val="080442DB"/>
    <w:rsid w:val="082F4010"/>
    <w:rsid w:val="08BD4C20"/>
    <w:rsid w:val="0A076668"/>
    <w:rsid w:val="0A3960E0"/>
    <w:rsid w:val="0A5667C2"/>
    <w:rsid w:val="0A647A2D"/>
    <w:rsid w:val="0AC37758"/>
    <w:rsid w:val="0C0B25F5"/>
    <w:rsid w:val="0C932C75"/>
    <w:rsid w:val="0D067109"/>
    <w:rsid w:val="0DC671F9"/>
    <w:rsid w:val="0EB153F9"/>
    <w:rsid w:val="0F4D5C3A"/>
    <w:rsid w:val="0FDD14A1"/>
    <w:rsid w:val="1031682A"/>
    <w:rsid w:val="10E36DD8"/>
    <w:rsid w:val="136B3FDB"/>
    <w:rsid w:val="14043051"/>
    <w:rsid w:val="15421315"/>
    <w:rsid w:val="15FA4078"/>
    <w:rsid w:val="16991DE6"/>
    <w:rsid w:val="16CC4CF2"/>
    <w:rsid w:val="17120649"/>
    <w:rsid w:val="182F0924"/>
    <w:rsid w:val="18F40252"/>
    <w:rsid w:val="1BF20AF0"/>
    <w:rsid w:val="1D484F1C"/>
    <w:rsid w:val="1D602588"/>
    <w:rsid w:val="1EDC730E"/>
    <w:rsid w:val="1FBF77C0"/>
    <w:rsid w:val="205F7B31"/>
    <w:rsid w:val="20F9487F"/>
    <w:rsid w:val="210B1BBA"/>
    <w:rsid w:val="21346A2B"/>
    <w:rsid w:val="21775638"/>
    <w:rsid w:val="21DC2C3A"/>
    <w:rsid w:val="23A9103B"/>
    <w:rsid w:val="23ED7834"/>
    <w:rsid w:val="247022A7"/>
    <w:rsid w:val="24EE7D77"/>
    <w:rsid w:val="2543318A"/>
    <w:rsid w:val="264E5F6D"/>
    <w:rsid w:val="282C0BEE"/>
    <w:rsid w:val="2899631A"/>
    <w:rsid w:val="28C52359"/>
    <w:rsid w:val="293F2DAB"/>
    <w:rsid w:val="29D92547"/>
    <w:rsid w:val="2A9C2048"/>
    <w:rsid w:val="2AE72169"/>
    <w:rsid w:val="2B891519"/>
    <w:rsid w:val="2BE94DF8"/>
    <w:rsid w:val="2CBD75AC"/>
    <w:rsid w:val="2EDB238E"/>
    <w:rsid w:val="2F046C5A"/>
    <w:rsid w:val="2F6F01FC"/>
    <w:rsid w:val="306F7A16"/>
    <w:rsid w:val="307F3F9D"/>
    <w:rsid w:val="321269E6"/>
    <w:rsid w:val="336676E2"/>
    <w:rsid w:val="35931461"/>
    <w:rsid w:val="368A369C"/>
    <w:rsid w:val="37C05BA3"/>
    <w:rsid w:val="38712ACF"/>
    <w:rsid w:val="38EC0D5C"/>
    <w:rsid w:val="39B97E2A"/>
    <w:rsid w:val="39E06615"/>
    <w:rsid w:val="3C494026"/>
    <w:rsid w:val="3D0B4316"/>
    <w:rsid w:val="3E7E65D9"/>
    <w:rsid w:val="3F395EE4"/>
    <w:rsid w:val="403D70AF"/>
    <w:rsid w:val="41797B95"/>
    <w:rsid w:val="41892D34"/>
    <w:rsid w:val="42EE036F"/>
    <w:rsid w:val="43A25A39"/>
    <w:rsid w:val="43C63DE8"/>
    <w:rsid w:val="44A2555F"/>
    <w:rsid w:val="451F2AFF"/>
    <w:rsid w:val="455A0EAE"/>
    <w:rsid w:val="47F311F4"/>
    <w:rsid w:val="48393D24"/>
    <w:rsid w:val="4869083D"/>
    <w:rsid w:val="4893267A"/>
    <w:rsid w:val="49301FA9"/>
    <w:rsid w:val="4931310A"/>
    <w:rsid w:val="49CC7DFC"/>
    <w:rsid w:val="4AB918AE"/>
    <w:rsid w:val="4B88642E"/>
    <w:rsid w:val="4C516F44"/>
    <w:rsid w:val="4D566F36"/>
    <w:rsid w:val="4F18763F"/>
    <w:rsid w:val="4F5F2BA5"/>
    <w:rsid w:val="4F89026C"/>
    <w:rsid w:val="4FC03A9E"/>
    <w:rsid w:val="4FC77FB6"/>
    <w:rsid w:val="50612334"/>
    <w:rsid w:val="5096072D"/>
    <w:rsid w:val="50A10742"/>
    <w:rsid w:val="52285DEB"/>
    <w:rsid w:val="52D5344A"/>
    <w:rsid w:val="5308411E"/>
    <w:rsid w:val="532742F5"/>
    <w:rsid w:val="536A3E77"/>
    <w:rsid w:val="53E4329C"/>
    <w:rsid w:val="53E703A8"/>
    <w:rsid w:val="55AC140F"/>
    <w:rsid w:val="55CF1507"/>
    <w:rsid w:val="55D50FAA"/>
    <w:rsid w:val="566454E2"/>
    <w:rsid w:val="56F341BA"/>
    <w:rsid w:val="58CE464F"/>
    <w:rsid w:val="58E572B4"/>
    <w:rsid w:val="5C9E71BC"/>
    <w:rsid w:val="5DAC4221"/>
    <w:rsid w:val="5DD739A8"/>
    <w:rsid w:val="5EA774FE"/>
    <w:rsid w:val="5EF01EB6"/>
    <w:rsid w:val="60A8379B"/>
    <w:rsid w:val="61254D06"/>
    <w:rsid w:val="614D7168"/>
    <w:rsid w:val="61CF1DC4"/>
    <w:rsid w:val="620D13F5"/>
    <w:rsid w:val="62D623C0"/>
    <w:rsid w:val="637F6141"/>
    <w:rsid w:val="63B81E84"/>
    <w:rsid w:val="653F11DF"/>
    <w:rsid w:val="673A12D1"/>
    <w:rsid w:val="67A148B0"/>
    <w:rsid w:val="6AA42FF1"/>
    <w:rsid w:val="6B3D425E"/>
    <w:rsid w:val="6B7648BF"/>
    <w:rsid w:val="6C5753C6"/>
    <w:rsid w:val="6CCB23EA"/>
    <w:rsid w:val="6CE3535A"/>
    <w:rsid w:val="6CED5C4E"/>
    <w:rsid w:val="6CEE5A1C"/>
    <w:rsid w:val="6F951236"/>
    <w:rsid w:val="70A77FE4"/>
    <w:rsid w:val="70BE0BF9"/>
    <w:rsid w:val="71094EB8"/>
    <w:rsid w:val="71312C91"/>
    <w:rsid w:val="73240EFC"/>
    <w:rsid w:val="738A4569"/>
    <w:rsid w:val="747333D8"/>
    <w:rsid w:val="74BF4B6E"/>
    <w:rsid w:val="78B2103D"/>
    <w:rsid w:val="7C106D34"/>
    <w:rsid w:val="7D927059"/>
    <w:rsid w:val="7E690767"/>
    <w:rsid w:val="7E7E4748"/>
    <w:rsid w:val="7FB7629E"/>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Normal Indent"/>
    <w:basedOn w:val="1"/>
    <w:qFormat/>
    <w:uiPriority w:val="0"/>
    <w:pPr>
      <w:spacing w:line="300" w:lineRule="auto"/>
      <w:ind w:firstLine="420" w:firstLineChars="200"/>
    </w:pPr>
    <w:rPr>
      <w:szCs w:val="24"/>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1"/>
    <w:basedOn w:val="11"/>
    <w:qFormat/>
    <w:uiPriority w:val="0"/>
    <w:pPr>
      <w:ind w:firstLine="420" w:firstLineChars="200"/>
    </w:pPr>
  </w:style>
  <w:style w:type="paragraph" w:customStyle="1" w:styleId="11">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8"/>
    <w:qFormat/>
    <w:uiPriority w:val="0"/>
    <w:rPr>
      <w:rFonts w:hint="eastAsia" w:ascii="宋体" w:hAnsi="宋体" w:eastAsia="宋体" w:cs="宋体"/>
      <w:b/>
      <w:bCs/>
      <w:color w:val="000000"/>
      <w:sz w:val="20"/>
      <w:szCs w:val="20"/>
      <w:u w:val="none"/>
    </w:rPr>
  </w:style>
  <w:style w:type="character" w:customStyle="1" w:styleId="18">
    <w:name w:val="font51"/>
    <w:basedOn w:val="8"/>
    <w:qFormat/>
    <w:uiPriority w:val="0"/>
    <w:rPr>
      <w:rFonts w:hint="eastAsia" w:ascii="宋体" w:hAnsi="宋体" w:eastAsia="宋体" w:cs="宋体"/>
      <w:color w:val="000000"/>
      <w:sz w:val="22"/>
      <w:szCs w:val="22"/>
      <w:u w:val="none"/>
    </w:rPr>
  </w:style>
  <w:style w:type="character" w:customStyle="1" w:styleId="19">
    <w:name w:val="font101"/>
    <w:basedOn w:val="8"/>
    <w:qFormat/>
    <w:uiPriority w:val="0"/>
    <w:rPr>
      <w:rFonts w:hint="eastAsia" w:ascii="宋体" w:hAnsi="宋体" w:eastAsia="宋体" w:cs="宋体"/>
      <w:b/>
      <w:bCs/>
      <w:color w:val="000000"/>
      <w:sz w:val="24"/>
      <w:szCs w:val="24"/>
      <w:u w:val="none"/>
    </w:rPr>
  </w:style>
  <w:style w:type="character" w:customStyle="1" w:styleId="20">
    <w:name w:val="font01"/>
    <w:basedOn w:val="8"/>
    <w:qFormat/>
    <w:uiPriority w:val="0"/>
    <w:rPr>
      <w:rFonts w:hint="default"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6190</Words>
  <Characters>6965</Characters>
  <Lines>0</Lines>
  <Paragraphs>0</Paragraphs>
  <TotalTime>37</TotalTime>
  <ScaleCrop>false</ScaleCrop>
  <LinksUpToDate>false</LinksUpToDate>
  <CharactersWithSpaces>7666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2023-03-01T01:38:00Z</cp:lastPrinted>
  <dcterms:modified xsi:type="dcterms:W3CDTF">2023-03-10T00:47:15Z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0897CE0104A74EC19132F1624234C984</vt:lpwstr>
  </property>
</Properties>
</file>