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2"/>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延145井区供输改造工程EPC总承包项目</w:t>
      </w:r>
    </w:p>
    <w:p>
      <w:pPr>
        <w:pStyle w:val="2"/>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钢管采购</w:t>
      </w:r>
    </w:p>
    <w:p>
      <w:pPr>
        <w:pStyle w:val="2"/>
        <w:ind w:firstLine="0" w:firstLineChars="0"/>
        <w:jc w:val="center"/>
        <w:rPr>
          <w:rFonts w:hint="eastAsia" w:ascii="仿宋" w:hAnsi="仿宋" w:eastAsia="仿宋" w:cs="仿宋"/>
          <w:b w:val="0"/>
          <w:bCs w:val="0"/>
          <w:sz w:val="44"/>
          <w:szCs w:val="44"/>
          <w:lang w:val="en-US" w:eastAsia="zh-CN"/>
        </w:rPr>
      </w:pPr>
    </w:p>
    <w:p>
      <w:pPr>
        <w:pStyle w:val="2"/>
        <w:rPr>
          <w:rFonts w:hint="eastAsia" w:ascii="仿宋" w:hAnsi="仿宋" w:eastAsia="仿宋" w:cs="仿宋"/>
          <w:b/>
          <w:bCs/>
          <w:sz w:val="44"/>
          <w:szCs w:val="44"/>
          <w:lang w:eastAsia="zh-CN"/>
        </w:rPr>
      </w:pPr>
    </w:p>
    <w:p>
      <w:pPr>
        <w:spacing w:line="580" w:lineRule="exact"/>
        <w:ind w:firstLine="2650" w:firstLineChars="600"/>
        <w:jc w:val="both"/>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竞争性谈判采购文件</w:t>
      </w:r>
    </w:p>
    <w:p>
      <w:pPr>
        <w:pStyle w:val="2"/>
        <w:ind w:firstLine="720"/>
        <w:rPr>
          <w:rFonts w:hint="eastAsia" w:ascii="仿宋" w:hAnsi="仿宋" w:eastAsia="仿宋" w:cs="仿宋"/>
          <w:b/>
          <w:bCs/>
          <w:sz w:val="44"/>
          <w:szCs w:val="44"/>
          <w:lang w:eastAsia="zh-CN"/>
        </w:rPr>
      </w:pPr>
    </w:p>
    <w:p>
      <w:pPr>
        <w:pStyle w:val="2"/>
        <w:ind w:firstLine="440"/>
        <w:rPr>
          <w:rFonts w:hint="eastAsia" w:ascii="仿宋" w:hAnsi="仿宋" w:eastAsia="仿宋" w:cs="仿宋"/>
          <w:sz w:val="44"/>
          <w:szCs w:val="44"/>
          <w:lang w:eastAsia="zh-CN"/>
        </w:rPr>
      </w:pPr>
    </w:p>
    <w:p>
      <w:pPr>
        <w:spacing w:line="580" w:lineRule="exact"/>
        <w:ind w:firstLine="1767" w:firstLineChars="400"/>
        <w:jc w:val="both"/>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陕西燃气集团工程有限公司</w:t>
      </w:r>
    </w:p>
    <w:p>
      <w:pPr>
        <w:pStyle w:val="2"/>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 xml:space="preserve"> 经营计划部</w:t>
      </w:r>
    </w:p>
    <w:p>
      <w:pPr>
        <w:pStyle w:val="2"/>
        <w:spacing w:after="0"/>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二</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bookmarkStart w:id="0" w:name="bookmark5"/>
      <w:r>
        <w:rPr>
          <w:rFonts w:hint="eastAsia" w:ascii="方正小标宋_GBK" w:hAnsi="方正小标宋_GBK" w:eastAsia="方正小标宋_GBK" w:cs="方正小标宋_GBK"/>
          <w:b w:val="0"/>
          <w:bCs w:val="0"/>
          <w:sz w:val="32"/>
          <w:szCs w:val="32"/>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延145井区供输改造工程EPC总承包项目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钢管采购</w:t>
      </w:r>
      <w:r>
        <w:rPr>
          <w:rFonts w:hint="eastAsia" w:ascii="方正小标宋_GBK" w:hAnsi="方正小标宋_GBK" w:eastAsia="方正小标宋_GBK" w:cs="方正小标宋_GBK"/>
          <w:b w:val="0"/>
          <w:bCs w:val="0"/>
          <w:sz w:val="32"/>
          <w:szCs w:val="32"/>
          <w:lang w:eastAsia="zh-CN"/>
        </w:rPr>
        <w:t>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延145井区供输改造工程EPC总承包项目钢管采购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一、项目名称：延145井区供输改造工程EPC总承包项目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8"/>
        <w:tblW w:w="9893" w:type="dxa"/>
        <w:tblInd w:w="-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293"/>
        <w:gridCol w:w="1960"/>
        <w:gridCol w:w="1867"/>
        <w:gridCol w:w="947"/>
        <w:gridCol w:w="1013"/>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L360N-D457×13.0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L245N-D273.0×8.0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L245N-D168.3×8.0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L245N-D168.3×5.0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L245N-D114.3×5.0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L245N-D88.9×5.0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L245N-D60.3×5.0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螺旋焊缝管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Q235B-φ610×10.0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GB/T3091-2015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螺旋焊缝管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Q235B-φ355.6×8.0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GB/T3091-2015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Q235B-φ273.0×7.0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Q235B-φ88.9×5.0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详见：无缝钢管技术规格书要求</w:t>
            </w:r>
          </w:p>
        </w:tc>
      </w:tr>
      <w:bookmarkEnd w:id="0"/>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注：1.送货地址：延安市延川县延145井区供输改造工程EPC总承包项目指定卸车点</w:t>
      </w:r>
      <w:r>
        <w:rPr>
          <w:rFonts w:hint="eastAsia" w:cs="宋体"/>
          <w:sz w:val="28"/>
          <w:szCs w:val="28"/>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20</w:t>
      </w:r>
      <w:r>
        <w:rPr>
          <w:rFonts w:hint="eastAsia" w:ascii="宋体" w:hAnsi="宋体" w:eastAsia="宋体" w:cs="宋体"/>
          <w:sz w:val="28"/>
          <w:szCs w:val="28"/>
          <w:highlight w:val="none"/>
          <w:lang w:val="en-US" w:eastAsia="zh-CN"/>
        </w:rPr>
        <w:t>日内送到延安市延川县延145井区供输改造工程EPC总承包项目指定卸车点。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562" w:firstLineChars="200"/>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（二）技术要求：详见无缝钢管技术规格书</w:t>
      </w:r>
    </w:p>
    <w:p>
      <w:pPr>
        <w:pStyle w:val="2"/>
        <w:keepNext w:val="0"/>
        <w:keepLines w:val="0"/>
        <w:pageBreakBefore w:val="0"/>
        <w:kinsoku/>
        <w:wordWrap/>
        <w:overflowPunct/>
        <w:topLinePunct w:val="0"/>
        <w:autoSpaceDE/>
        <w:autoSpaceDN/>
        <w:bidi w:val="0"/>
        <w:adjustRightInd/>
        <w:snapToGrid/>
        <w:spacing w:before="0" w:beforeAutospacing="0" w:afterAutospacing="0" w:line="240" w:lineRule="auto"/>
        <w:textAlignment w:val="auto"/>
        <w:rPr>
          <w:rFonts w:hint="eastAsia" w:ascii="宋体" w:hAnsi="宋体" w:eastAsia="宋体" w:cs="宋体"/>
          <w:b/>
          <w:bCs/>
          <w:sz w:val="28"/>
          <w:szCs w:val="28"/>
          <w:highlight w:val="none"/>
          <w:lang w:val="en-US" w:eastAsia="zh-CN"/>
        </w:rPr>
      </w:pPr>
      <w:r>
        <w:rPr>
          <w:rFonts w:hint="eastAsia" w:cs="宋体"/>
          <w:b/>
          <w:bCs/>
          <w:sz w:val="28"/>
          <w:szCs w:val="28"/>
          <w:highlight w:val="none"/>
          <w:lang w:val="en-US" w:eastAsia="zh-CN"/>
        </w:rPr>
        <w:t>1</w:t>
      </w:r>
      <w:r>
        <w:rPr>
          <w:rFonts w:hint="eastAsia" w:ascii="宋体" w:hAnsi="宋体" w:eastAsia="宋体" w:cs="宋体"/>
          <w:b/>
          <w:bCs/>
          <w:sz w:val="28"/>
          <w:szCs w:val="28"/>
          <w:highlight w:val="none"/>
          <w:lang w:val="en-US" w:eastAsia="zh-CN"/>
        </w:rPr>
        <w:t>. 无缝钢管技术规格书：文件号：SPE-0101GP01-08。</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7.付款方式：签订合同后，产品交付经买方验收合格，卖方向买方出具全额增值税专用发票，买方支付验收合格产品货款的</w:t>
      </w:r>
      <w:r>
        <w:rPr>
          <w:rFonts w:hint="eastAsia" w:ascii="宋体" w:hAnsi="宋体" w:eastAsia="宋体" w:cs="宋体"/>
          <w:kern w:val="2"/>
          <w:sz w:val="28"/>
          <w:szCs w:val="28"/>
          <w:u w:val="single"/>
          <w:lang w:val="en-US" w:eastAsia="zh-CN" w:bidi="ar-SA"/>
        </w:rPr>
        <w:t>97%</w:t>
      </w:r>
      <w:r>
        <w:rPr>
          <w:rFonts w:hint="eastAsia" w:ascii="宋体" w:hAnsi="宋体" w:eastAsia="宋体" w:cs="宋体"/>
          <w:kern w:val="2"/>
          <w:sz w:val="28"/>
          <w:szCs w:val="28"/>
          <w:lang w:val="en-US" w:eastAsia="zh-CN" w:bidi="ar-SA"/>
        </w:rPr>
        <w:t>，，剩余</w:t>
      </w:r>
      <w:r>
        <w:rPr>
          <w:rFonts w:hint="eastAsia" w:ascii="宋体" w:hAnsi="宋体" w:eastAsia="宋体" w:cs="宋体"/>
          <w:kern w:val="2"/>
          <w:sz w:val="28"/>
          <w:szCs w:val="28"/>
          <w:u w:val="single"/>
          <w:lang w:val="en-US" w:eastAsia="zh-CN" w:bidi="ar-SA"/>
        </w:rPr>
        <w:t>3%</w:t>
      </w:r>
      <w:r>
        <w:rPr>
          <w:rFonts w:hint="eastAsia" w:ascii="宋体" w:hAnsi="宋体" w:eastAsia="宋体" w:cs="宋体"/>
          <w:kern w:val="2"/>
          <w:sz w:val="28"/>
          <w:szCs w:val="28"/>
          <w:lang w:val="en-US" w:eastAsia="zh-CN" w:bidi="ar-SA"/>
        </w:rPr>
        <w:t>作为质保金。产品质量保证期限届满后，如未发生质量问题，买方一次性无息付清质保金。同时本项目付款依据建设单位资金支付情况，支付期间不计延期支付利息。卖方不能因为付款影响供货，延误项目工期。</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8.根据当前疫情状况，报价单位需综合考虑疫情影响因素。</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12</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 3</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 xml:space="preserve"> 15 ：30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3 日 15 ：30前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bookmarkStart w:id="4" w:name="_GoBack"/>
      <w:bookmarkEnd w:id="4"/>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numPr>
          <w:ilvl w:val="0"/>
          <w:numId w:val="5"/>
        </w:numPr>
        <w:spacing w:line="580" w:lineRule="exact"/>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2"/>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2</w:t>
            </w:r>
            <w:r>
              <w:rPr>
                <w:rFonts w:hint="eastAsia" w:ascii="宋体" w:hAnsi="宋体" w:eastAsia="宋体" w:cs="宋体"/>
                <w:sz w:val="21"/>
                <w:szCs w:val="21"/>
              </w:rPr>
              <w:t>0% + 商务分×</w:t>
            </w:r>
            <w:r>
              <w:rPr>
                <w:rFonts w:hint="eastAsia" w:ascii="宋体" w:hAnsi="宋体" w:eastAsia="宋体" w:cs="宋体"/>
                <w:sz w:val="21"/>
                <w:szCs w:val="21"/>
                <w:lang w:val="en-US" w:eastAsia="zh-CN"/>
              </w:rPr>
              <w:t>8</w:t>
            </w:r>
            <w:r>
              <w:rPr>
                <w:rFonts w:hint="eastAsia" w:ascii="宋体" w:hAnsi="宋体" w:eastAsia="宋体" w:cs="宋体"/>
                <w:sz w:val="21"/>
                <w:szCs w:val="21"/>
              </w:rPr>
              <w:t>0% ，按四舍五入原则保留2位小数。</w:t>
            </w:r>
          </w:p>
        </w:tc>
      </w:tr>
    </w:tbl>
    <w:p>
      <w:pPr>
        <w:widowControl/>
        <w:shd w:val="clear" w:color="auto" w:fill="FFFFFF"/>
        <w:spacing w:line="360" w:lineRule="atLeast"/>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8"/>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8" w:hRule="atLeast"/>
          <w:jc w:val="right"/>
        </w:trPr>
        <w:tc>
          <w:tcPr>
            <w:tcW w:w="3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8"/>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15天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w:t>
      </w:r>
      <w:r>
        <w:rPr>
          <w:rFonts w:hint="eastAsia" w:ascii="宋体" w:hAnsi="宋体" w:eastAsia="宋体" w:cs="宋体"/>
          <w:sz w:val="28"/>
          <w:szCs w:val="28"/>
          <w:lang w:eastAsia="zh-CN"/>
        </w:rPr>
        <w:t>业绩、实力及服务承诺等方面</w:t>
      </w:r>
      <w:r>
        <w:rPr>
          <w:rFonts w:hint="eastAsia" w:ascii="宋体" w:hAnsi="宋体" w:eastAsia="宋体" w:cs="宋体"/>
          <w:sz w:val="28"/>
          <w:szCs w:val="28"/>
        </w:rPr>
        <w:t>综合评判，确定本项目</w:t>
      </w:r>
      <w:r>
        <w:rPr>
          <w:rFonts w:hint="eastAsia" w:ascii="宋体" w:hAnsi="宋体" w:eastAsia="宋体" w:cs="宋体"/>
          <w:sz w:val="28"/>
          <w:szCs w:val="28"/>
          <w:lang w:eastAsia="zh-CN"/>
        </w:rPr>
        <w:t>合作</w:t>
      </w:r>
      <w:r>
        <w:rPr>
          <w:rFonts w:hint="eastAsia" w:ascii="宋体" w:hAnsi="宋体" w:eastAsia="宋体" w:cs="宋体"/>
          <w:sz w:val="28"/>
          <w:szCs w:val="28"/>
        </w:rPr>
        <w:t>单位。</w:t>
      </w:r>
    </w:p>
    <w:p>
      <w:pPr>
        <w:pStyle w:val="2"/>
        <w:rPr>
          <w:rFonts w:hint="eastAsia"/>
        </w:rPr>
      </w:pP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2023年2月22日</w:t>
      </w:r>
    </w:p>
    <w:p>
      <w:pPr>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延145井区供输改造工程EPC总承包项目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钢管采购</w:t>
      </w:r>
    </w:p>
    <w:p>
      <w:pPr>
        <w:jc w:val="center"/>
        <w:rPr>
          <w:rFonts w:hint="eastAsia" w:ascii="宋体" w:hAnsi="宋体" w:eastAsia="宋体" w:cs="宋体"/>
          <w:b/>
          <w:bCs/>
          <w:color w:val="auto"/>
          <w:sz w:val="44"/>
          <w:szCs w:val="44"/>
          <w:highlight w:val="none"/>
          <w:lang w:eastAsia="zh-CN"/>
        </w:rPr>
      </w:pPr>
    </w:p>
    <w:p>
      <w:pPr>
        <w:ind w:firstLine="3092" w:firstLineChars="700"/>
        <w:jc w:val="both"/>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pP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rPr>
          <w:rFonts w:hint="default"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w:t>
      </w:r>
      <w:r>
        <w:rPr>
          <w:rFonts w:hint="eastAsia" w:ascii="宋体" w:hAnsi="宋体" w:eastAsia="宋体" w:cs="宋体"/>
          <w:b/>
          <w:bCs/>
          <w:color w:val="auto"/>
          <w:sz w:val="44"/>
          <w:szCs w:val="44"/>
          <w:highlight w:val="none"/>
          <w:lang w:val="en-US" w:eastAsia="zh-CN"/>
        </w:rPr>
        <w:tab/>
      </w:r>
    </w:p>
    <w:p>
      <w:pPr>
        <w:keepNext w:val="0"/>
        <w:keepLines w:val="0"/>
        <w:pageBreakBefore w:val="0"/>
        <w:tabs>
          <w:tab w:val="center" w:pos="5346"/>
        </w:tabs>
        <w:wordWrap/>
        <w:bidi w:val="0"/>
        <w:spacing w:after="0"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4"/>
          <w:szCs w:val="44"/>
          <w:highlight w:val="none"/>
        </w:rPr>
        <w:t>二〇</w:t>
      </w:r>
      <w:r>
        <w:rPr>
          <w:rFonts w:hint="eastAsia" w:ascii="宋体" w:hAnsi="宋体" w:eastAsia="宋体" w:cs="宋体"/>
          <w:b/>
          <w:bCs/>
          <w:color w:val="auto"/>
          <w:sz w:val="44"/>
          <w:szCs w:val="44"/>
          <w:highlight w:val="none"/>
          <w:lang w:eastAsia="zh-CN"/>
        </w:rPr>
        <w:t>二</w:t>
      </w:r>
      <w:r>
        <w:rPr>
          <w:rFonts w:hint="eastAsia" w:ascii="宋体" w:hAnsi="宋体" w:eastAsia="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年</w:t>
      </w:r>
      <w:r>
        <w:rPr>
          <w:rFonts w:hint="eastAsia" w:ascii="宋体" w:hAnsi="宋体" w:eastAsia="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月</w:t>
      </w:r>
      <w:r>
        <w:rPr>
          <w:rFonts w:hint="eastAsia" w:ascii="宋体" w:hAnsi="宋体" w:eastAsia="宋体" w:cs="宋体"/>
          <w:b/>
          <w:color w:val="auto"/>
          <w:sz w:val="44"/>
          <w:szCs w:val="44"/>
          <w:highlight w:val="none"/>
        </w:rPr>
        <w:br w:type="page"/>
      </w:r>
    </w:p>
    <w:p>
      <w:pPr>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spacing w:line="36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numPr>
          <w:ilvl w:val="0"/>
          <w:numId w:val="0"/>
        </w:numPr>
        <w:adjustRightInd w:val="0"/>
        <w:snapToGrid w:val="0"/>
        <w:spacing w:line="440" w:lineRule="exact"/>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numPr>
          <w:ilvl w:val="0"/>
          <w:numId w:val="0"/>
        </w:numPr>
        <w:adjustRightInd w:val="0"/>
        <w:snapToGrid w:val="0"/>
        <w:spacing w:line="440" w:lineRule="exact"/>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spacing w:line="36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2"/>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2"/>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bookmarkEnd w:id="1"/>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延145井区供输改造工程EPC总承包项目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钢管采购报价单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8"/>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71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322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3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2" w:hRule="exact"/>
        </w:trPr>
        <w:tc>
          <w:tcPr>
            <w:tcW w:w="3226" w:type="dxa"/>
            <w:noWrap w:val="0"/>
            <w:vAlign w:val="center"/>
          </w:tcPr>
          <w:p>
            <w:pPr>
              <w:keepNext w:val="0"/>
              <w:keepLines w:val="0"/>
              <w:pageBreakBefore w:val="0"/>
              <w:widowControl/>
              <w:kinsoku/>
              <w:wordWrap/>
              <w:bidi w:val="0"/>
              <w:spacing w:after="0" w:line="240" w:lineRule="auto"/>
              <w:ind w:right="0" w:righ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延145井区供输改造工程EPC总承包项目钢管</w:t>
            </w:r>
            <w:r>
              <w:rPr>
                <w:rFonts w:hint="eastAsia" w:ascii="宋体" w:hAnsi="宋体" w:eastAsia="宋体" w:cs="宋体"/>
                <w:b/>
                <w:bCs/>
                <w:sz w:val="28"/>
                <w:szCs w:val="28"/>
                <w:lang w:val="en-US" w:eastAsia="zh-CN"/>
              </w:rPr>
              <w:t>采购</w:t>
            </w:r>
          </w:p>
        </w:tc>
        <w:tc>
          <w:tcPr>
            <w:tcW w:w="3716"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3226"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6494"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kinsoku/>
        <w:wordWrap/>
        <w:bidi w:val="0"/>
        <w:spacing w:after="0" w:line="240" w:lineRule="auto"/>
        <w:ind w:leftChars="0" w:right="0" w:rightChars="0" w:firstLine="562" w:firstLineChars="200"/>
        <w:jc w:val="center"/>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5"/>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延145井区供输改造工程EPC总承包项目</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钢管采购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8"/>
        <w:tblW w:w="15333" w:type="dxa"/>
        <w:tblInd w:w="-1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334"/>
        <w:gridCol w:w="2786"/>
        <w:gridCol w:w="2174"/>
        <w:gridCol w:w="1066"/>
        <w:gridCol w:w="1427"/>
        <w:gridCol w:w="813"/>
        <w:gridCol w:w="774"/>
        <w:gridCol w:w="746"/>
        <w:gridCol w:w="1120"/>
        <w:gridCol w:w="627"/>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执行标准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制造商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裸管单价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（元/米）</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含税合计（元/米）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L360N-D457×13.0</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L245N-D273.0×8.0</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L245N-D168.3×8.0</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L245N-D168.3×5.0</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L245N-D114.3×5.0</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L245N-D88.9×5.0</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L245N-D60.3×5.0</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螺旋焊缝管</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Q235B-φ610×10.0</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GB/T3091-2015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螺旋焊缝管</w:t>
            </w:r>
          </w:p>
        </w:tc>
        <w:tc>
          <w:tcPr>
            <w:tcW w:w="2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Q235B-φ355.6×8.0</w:t>
            </w:r>
          </w:p>
        </w:tc>
        <w:tc>
          <w:tcPr>
            <w:tcW w:w="2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GB/T3091-2015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正偏差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Q235B-φ273.0×7.0</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Q235B-φ88.9×5.0</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延145井区供输改造工程EPC总承包项目钢管</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2"/>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numPr>
          <w:ilvl w:val="0"/>
          <w:numId w:val="0"/>
        </w:numPr>
        <w:adjustRightInd w:val="0"/>
        <w:snapToGrid w:val="0"/>
        <w:spacing w:line="440" w:lineRule="exact"/>
        <w:ind w:firstLine="1454" w:firstLineChars="400"/>
        <w:jc w:val="both"/>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numPr>
          <w:ilvl w:val="0"/>
          <w:numId w:val="0"/>
        </w:numPr>
        <w:adjustRightInd w:val="0"/>
        <w:snapToGrid w:val="0"/>
        <w:spacing w:line="44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1.生产厂家情况、工厂规模、生产能力、生产资质、生产材料等；</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2.产品质量保证措施；</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3.投标人完成本项目的保障能力；</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4.交货期保证措施；</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5.报价单位服务承诺书；</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6.报价单位认为有必要说明的问题。</w:t>
      </w: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insoku w:val="0"/>
        <w:spacing w:line="580" w:lineRule="exact"/>
        <w:rPr>
          <w:rFonts w:hint="eastAsia" w:ascii="宋体" w:hAnsi="宋体" w:eastAsia="宋体" w:cs="宋体"/>
          <w:color w:val="auto"/>
          <w:sz w:val="24"/>
          <w:szCs w:val="24"/>
          <w:highlight w:val="none"/>
        </w:rPr>
      </w:pPr>
    </w:p>
    <w:p>
      <w:pPr>
        <w:pStyle w:val="2"/>
        <w:rPr>
          <w:rFonts w:hint="eastAsia"/>
        </w:rPr>
      </w:pPr>
    </w:p>
    <w:p>
      <w:pPr>
        <w:pStyle w:val="12"/>
        <w:numPr>
          <w:ilvl w:val="0"/>
          <w:numId w:val="0"/>
        </w:numPr>
        <w:spacing w:line="580" w:lineRule="exact"/>
        <w:ind w:leftChars="200"/>
        <w:jc w:val="center"/>
        <w:rPr>
          <w:rFonts w:hint="eastAsia" w:ascii="宋体" w:hAnsi="宋体" w:eastAsia="宋体" w:cs="宋体"/>
          <w:b/>
          <w:bCs/>
          <w:color w:val="auto"/>
          <w:sz w:val="32"/>
          <w:szCs w:val="32"/>
          <w:lang w:val="en-US" w:eastAsia="zh-CN"/>
        </w:rPr>
      </w:pPr>
    </w:p>
    <w:p>
      <w:pPr>
        <w:pStyle w:val="12"/>
        <w:numPr>
          <w:ilvl w:val="0"/>
          <w:numId w:val="0"/>
        </w:numPr>
        <w:spacing w:line="580" w:lineRule="exact"/>
        <w:ind w:leftChars="200"/>
        <w:jc w:val="center"/>
        <w:rPr>
          <w:rFonts w:hint="eastAsia" w:ascii="宋体" w:hAnsi="宋体" w:eastAsia="宋体" w:cs="宋体"/>
          <w:b/>
          <w:bCs/>
          <w:color w:val="auto"/>
          <w:sz w:val="32"/>
          <w:szCs w:val="32"/>
          <w:lang w:val="en-US" w:eastAsia="zh-CN"/>
        </w:rPr>
      </w:pPr>
    </w:p>
    <w:p>
      <w:pPr>
        <w:pStyle w:val="12"/>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延145井区供输改造工程EPC总承包项目钢管采购</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延145井区供输改造工程EPC总承包项目钢管采购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A14B2D86-ACDE-4568-8599-C9C7FD0D5BBD}"/>
  </w:font>
  <w:font w:name="方正小标宋_GBK">
    <w:panose1 w:val="02000000000000000000"/>
    <w:charset w:val="86"/>
    <w:family w:val="auto"/>
    <w:pitch w:val="default"/>
    <w:sig w:usb0="A00002BF" w:usb1="38CF7CFA" w:usb2="00082016" w:usb3="00000000" w:csb0="00040001" w:csb1="00000000"/>
    <w:embedRegular r:id="rId2" w:fontKey="{8A154A13-090D-4860-B2B2-3B8C7DD3FFDB}"/>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FF77BA69"/>
    <w:multiLevelType w:val="singleLevel"/>
    <w:tmpl w:val="FF77BA69"/>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3452055"/>
    <w:rsid w:val="04392773"/>
    <w:rsid w:val="0510391D"/>
    <w:rsid w:val="061471C9"/>
    <w:rsid w:val="06540E18"/>
    <w:rsid w:val="06AA3D29"/>
    <w:rsid w:val="07244422"/>
    <w:rsid w:val="07671EB0"/>
    <w:rsid w:val="0798099B"/>
    <w:rsid w:val="080442DB"/>
    <w:rsid w:val="08BD4C20"/>
    <w:rsid w:val="0A647A2D"/>
    <w:rsid w:val="0AC37758"/>
    <w:rsid w:val="0C012C2E"/>
    <w:rsid w:val="0C0B25F5"/>
    <w:rsid w:val="0C932C75"/>
    <w:rsid w:val="0DC671F9"/>
    <w:rsid w:val="0EB153F9"/>
    <w:rsid w:val="0F4D5C3A"/>
    <w:rsid w:val="0FDD14A1"/>
    <w:rsid w:val="1031682A"/>
    <w:rsid w:val="10E36DD8"/>
    <w:rsid w:val="136B3FDB"/>
    <w:rsid w:val="15421315"/>
    <w:rsid w:val="15FA4078"/>
    <w:rsid w:val="16991DE6"/>
    <w:rsid w:val="16A23610"/>
    <w:rsid w:val="16CC4CF2"/>
    <w:rsid w:val="17120649"/>
    <w:rsid w:val="182F0924"/>
    <w:rsid w:val="18F40252"/>
    <w:rsid w:val="1B5E44C1"/>
    <w:rsid w:val="1BF20AF0"/>
    <w:rsid w:val="1BFB05E4"/>
    <w:rsid w:val="1D484F1C"/>
    <w:rsid w:val="1D602588"/>
    <w:rsid w:val="1FBF77C0"/>
    <w:rsid w:val="205F7B31"/>
    <w:rsid w:val="210B1BBA"/>
    <w:rsid w:val="21DC2C3A"/>
    <w:rsid w:val="23A9103B"/>
    <w:rsid w:val="23ED7834"/>
    <w:rsid w:val="247022A7"/>
    <w:rsid w:val="2543318A"/>
    <w:rsid w:val="264E5F6D"/>
    <w:rsid w:val="279B588D"/>
    <w:rsid w:val="282C0BEE"/>
    <w:rsid w:val="2899631A"/>
    <w:rsid w:val="28C52359"/>
    <w:rsid w:val="293F2DAB"/>
    <w:rsid w:val="29D92547"/>
    <w:rsid w:val="2AE72169"/>
    <w:rsid w:val="2B891519"/>
    <w:rsid w:val="2CBD75AC"/>
    <w:rsid w:val="2EDB238E"/>
    <w:rsid w:val="306F7A16"/>
    <w:rsid w:val="321269E6"/>
    <w:rsid w:val="336676E2"/>
    <w:rsid w:val="33896EE1"/>
    <w:rsid w:val="37C05BA3"/>
    <w:rsid w:val="38712ACF"/>
    <w:rsid w:val="38EC0D5C"/>
    <w:rsid w:val="39B97E2A"/>
    <w:rsid w:val="39E06615"/>
    <w:rsid w:val="3C494026"/>
    <w:rsid w:val="3CF83BD0"/>
    <w:rsid w:val="3D0B4316"/>
    <w:rsid w:val="3E7E65D9"/>
    <w:rsid w:val="3F395EE4"/>
    <w:rsid w:val="403D70AF"/>
    <w:rsid w:val="41797B95"/>
    <w:rsid w:val="42EE036F"/>
    <w:rsid w:val="432804C5"/>
    <w:rsid w:val="43A25A39"/>
    <w:rsid w:val="43C63DE8"/>
    <w:rsid w:val="44A2555F"/>
    <w:rsid w:val="451F2AFF"/>
    <w:rsid w:val="455A0EAE"/>
    <w:rsid w:val="47F311F4"/>
    <w:rsid w:val="48393D24"/>
    <w:rsid w:val="4869083D"/>
    <w:rsid w:val="49301FA9"/>
    <w:rsid w:val="496164DE"/>
    <w:rsid w:val="4AB918AE"/>
    <w:rsid w:val="4B88642E"/>
    <w:rsid w:val="4D566F36"/>
    <w:rsid w:val="4ED02FDB"/>
    <w:rsid w:val="4F5F2BA5"/>
    <w:rsid w:val="4F89026C"/>
    <w:rsid w:val="4FC03A9E"/>
    <w:rsid w:val="4FC77FB6"/>
    <w:rsid w:val="50612334"/>
    <w:rsid w:val="5096072D"/>
    <w:rsid w:val="50A10742"/>
    <w:rsid w:val="5308411E"/>
    <w:rsid w:val="532742F5"/>
    <w:rsid w:val="536A3E77"/>
    <w:rsid w:val="53E4329C"/>
    <w:rsid w:val="53E703A8"/>
    <w:rsid w:val="55CF1507"/>
    <w:rsid w:val="55D50FAA"/>
    <w:rsid w:val="566454E2"/>
    <w:rsid w:val="56F341BA"/>
    <w:rsid w:val="58CE464F"/>
    <w:rsid w:val="58E572B4"/>
    <w:rsid w:val="5943309D"/>
    <w:rsid w:val="5C9E71BC"/>
    <w:rsid w:val="5DD739A8"/>
    <w:rsid w:val="5EA774FE"/>
    <w:rsid w:val="5EF01EB6"/>
    <w:rsid w:val="61254D06"/>
    <w:rsid w:val="614D7168"/>
    <w:rsid w:val="61CF1DC4"/>
    <w:rsid w:val="62D623C0"/>
    <w:rsid w:val="637F6141"/>
    <w:rsid w:val="63E25E3C"/>
    <w:rsid w:val="653F11DF"/>
    <w:rsid w:val="673A12D1"/>
    <w:rsid w:val="67A148B0"/>
    <w:rsid w:val="6B7648BF"/>
    <w:rsid w:val="6C5753C6"/>
    <w:rsid w:val="6CE3535A"/>
    <w:rsid w:val="6E363B46"/>
    <w:rsid w:val="70A77FE4"/>
    <w:rsid w:val="70BE0BF9"/>
    <w:rsid w:val="73240EFC"/>
    <w:rsid w:val="738A4569"/>
    <w:rsid w:val="747333D8"/>
    <w:rsid w:val="74BF4B6E"/>
    <w:rsid w:val="7750356B"/>
    <w:rsid w:val="7C106D34"/>
    <w:rsid w:val="7D927059"/>
    <w:rsid w:val="7E690767"/>
    <w:rsid w:val="7E7E4748"/>
    <w:rsid w:val="7FDA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line="300" w:lineRule="auto"/>
      <w:ind w:firstLine="420" w:firstLineChars="200"/>
    </w:pPr>
    <w:rPr>
      <w:szCs w:val="24"/>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10"/>
    <w:qFormat/>
    <w:uiPriority w:val="0"/>
    <w:rPr>
      <w:rFonts w:hint="eastAsia" w:ascii="宋体" w:hAnsi="宋体" w:eastAsia="宋体" w:cs="宋体"/>
      <w:b/>
      <w:bCs/>
      <w:color w:val="000000"/>
      <w:sz w:val="20"/>
      <w:szCs w:val="20"/>
      <w:u w:val="none"/>
    </w:rPr>
  </w:style>
  <w:style w:type="character" w:customStyle="1" w:styleId="18">
    <w:name w:val="font51"/>
    <w:basedOn w:val="10"/>
    <w:qFormat/>
    <w:uiPriority w:val="0"/>
    <w:rPr>
      <w:rFonts w:hint="eastAsia" w:ascii="宋体" w:hAnsi="宋体" w:eastAsia="宋体" w:cs="宋体"/>
      <w:color w:val="000000"/>
      <w:sz w:val="22"/>
      <w:szCs w:val="22"/>
      <w:u w:val="none"/>
    </w:rPr>
  </w:style>
  <w:style w:type="character" w:customStyle="1" w:styleId="19">
    <w:name w:val="font101"/>
    <w:basedOn w:val="10"/>
    <w:qFormat/>
    <w:uiPriority w:val="0"/>
    <w:rPr>
      <w:rFonts w:hint="eastAsia" w:ascii="宋体" w:hAnsi="宋体" w:eastAsia="宋体" w:cs="宋体"/>
      <w:b/>
      <w:bCs/>
      <w:color w:val="000000"/>
      <w:sz w:val="24"/>
      <w:szCs w:val="24"/>
      <w:u w:val="none"/>
    </w:rPr>
  </w:style>
  <w:style w:type="character" w:customStyle="1" w:styleId="20">
    <w:name w:val="font01"/>
    <w:basedOn w:val="10"/>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4940</Words>
  <Characters>5705</Characters>
  <Lines>0</Lines>
  <Paragraphs>0</Paragraphs>
  <TotalTime>3</TotalTime>
  <ScaleCrop>false</ScaleCrop>
  <LinksUpToDate>false</LinksUpToDate>
  <CharactersWithSpaces>6313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2022-03-28T04:30:00Z</cp:lastPrinted>
  <dcterms:modified xsi:type="dcterms:W3CDTF">2023-02-27T01:39:47Z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821F2EFECCD646B2AADD2DFF978D0808</vt:lpwstr>
  </property>
</Properties>
</file>