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陕西燃气集团工程有限公司</w:t>
      </w:r>
    </w:p>
    <w:p>
      <w:pPr>
        <w:pStyle w:val="10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西咸能源金贸区中央公园及地下空间工程B区项目·绿化工程绿植采购</w:t>
      </w:r>
    </w:p>
    <w:p>
      <w:pPr>
        <w:pStyle w:val="10"/>
        <w:ind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pStyle w:val="10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pStyle w:val="10"/>
        <w:ind w:firstLine="720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竞争性谈判采购文件</w:t>
      </w:r>
    </w:p>
    <w:p>
      <w:pPr>
        <w:pStyle w:val="10"/>
        <w:ind w:firstLine="720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pStyle w:val="10"/>
        <w:ind w:firstLine="440"/>
        <w:rPr>
          <w:lang w:eastAsia="zh-CN"/>
        </w:rPr>
      </w:pPr>
    </w:p>
    <w:p>
      <w:pPr>
        <w:pStyle w:val="10"/>
        <w:ind w:firstLine="440"/>
        <w:rPr>
          <w:lang w:eastAsia="zh-CN"/>
        </w:rPr>
      </w:pPr>
    </w:p>
    <w:p>
      <w:pPr>
        <w:pStyle w:val="10"/>
        <w:ind w:firstLine="440"/>
        <w:rPr>
          <w:lang w:eastAsia="zh-CN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陕西燃气集团工程有限公司</w:t>
      </w:r>
    </w:p>
    <w:p>
      <w:pPr>
        <w:pStyle w:val="10"/>
        <w:ind w:firstLine="880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          经营计划部</w:t>
      </w:r>
    </w:p>
    <w:p>
      <w:pPr>
        <w:pStyle w:val="10"/>
        <w:spacing w:after="0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sectPr>
          <w:footerReference r:id="rId5" w:type="default"/>
          <w:pgSz w:w="11906" w:h="16838"/>
          <w:pgMar w:top="2098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二〇二三年二月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0" w:name="bookmark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陕西燃气集团工程有限公司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西咸能源金贸区中央公园及地下空间工程B区项目·绿化工程绿植采购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报价要求文件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我公司拟对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西咸能源金贸区中央公园及地下空间工程B区项目·绿化工程绿植采购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进行比价洽谈，特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邀请贵公司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参与洽谈。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该项目具体情况如下：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527" w:leftChars="254" w:hanging="1968" w:hangingChars="7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一、项目名称：西咸能源金贸区中央公园及地下空间工程B区项目·绿化工程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报价清单及要求：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vertAlign w:val="baseline"/>
          <w:lang w:val="en-US" w:eastAsia="zh-CN" w:bidi="ar-SA"/>
        </w:rPr>
        <w:t>报价清单</w:t>
      </w:r>
    </w:p>
    <w:bookmarkEnd w:id="0"/>
    <w:tbl>
      <w:tblPr>
        <w:tblStyle w:val="7"/>
        <w:tblpPr w:leftFromText="180" w:rightFromText="180" w:vertAnchor="text" w:horzAnchor="page" w:tblpX="1637" w:tblpY="1274"/>
        <w:tblOverlap w:val="never"/>
        <w:tblW w:w="92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0"/>
        <w:gridCol w:w="4343"/>
        <w:gridCol w:w="1211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分项工程名称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楸树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径：15-18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600-700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幅：250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以上，树冠完整,分支点2.5-3m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日本花柏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250-300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幅：250-300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 树冠完整,树形要求饱满,看样定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景观树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品种、树形看样定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三角枫A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径：18-20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600-700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幅：350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以上，树冠完整,分支点1.8-2m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刺槐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径：13-15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400-500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幅：300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以上，树冠完整,分支点2-2.5m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丛生皂荚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800-900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幅：400-500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，全冠、丛生状、3-5支、每支胸径13-15cm以上、树形优美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国槐A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径：30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800-900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幅：600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以上，树冠完整,分支点2.5m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银杏(特)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径：40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600-700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幅：400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以上，树冠完整,分支点2-2.5m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径：13-15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400-500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幅：300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以上，树冠完整,分支点1.8-2m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银芽柳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200-250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幅：180-230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，树冠完整,树形优美,低分枝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柱状石楠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180-200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幅：80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，要求不要脱脚苗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高接大花月季(红花)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100-120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幅：100-120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，株距1.5m,砧木高不超过35cm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百慕大草坪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百慕大草坪,冬季撒播黑麦草,保持常绿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八宝景天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25-30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，36株/㎡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美人蕉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35-40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幅：25-30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，12丛/㎡,营养钵苗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黄花鸢尾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幅：15-20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，25丛/㎡,3-5芽/丛,营养钵苗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蓝冰麦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60-80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幅：40-50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，16丛/㎡,营养钵苗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红叶石楠高篱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150-180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幅：60-80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，株距60x60cm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矮棕榈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80-100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幅：50-60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，株距40x40cm,苗圃小苗,不脱脚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金叶莸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35-40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幅：30-35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，三年生苗,株距20x20cm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大花重瓣蜀葵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36丛/m2,黄、粉、紫、红等 混色栽植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花叶杞柳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冠 幅：40-50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，16丛/㎡,营养钵苗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柳叶马鞭草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36丛/㎡,营养钵苗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爬山虎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岩墙边栽种,三年生苗,株距30x30cm,枝长1m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刚竹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0"/>
                <w:lang w:val="en-US" w:eastAsia="zh-CN" w:bidi="ar"/>
              </w:rPr>
              <w:t>胸 径：干径2-3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</w:t>
            </w: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200-300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，10-12株/㎡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灌生淡竹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180-200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，4丛/m2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观赏草坪(果岭草)高尔夫球场标准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草皮卷,由专业单位施工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匍匐剪股颖草坪(建筑屋面绿化)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草皮卷,由专业单位施工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香蒲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40-50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，25株/㎡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黄花水生鸢尾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幅：15-20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，20-25丛/㎡,每丛2-3芽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紫花水生鸢尾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幅：15-20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，25丛/㎡,每丛8芽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雨久花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20-25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幅：15-20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，25丛/㎡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再力花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22"/>
                <w:lang w:val="en-US" w:eastAsia="zh-CN" w:bidi="ar"/>
              </w:rPr>
              <w:t>高度：</w:t>
            </w:r>
            <w:r>
              <w:rPr>
                <w:rStyle w:val="20"/>
                <w:lang w:val="en-US" w:eastAsia="zh-CN" w:bidi="ar"/>
              </w:rPr>
              <w:t>60-80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，冠 幅：40-50</w:t>
            </w:r>
            <w:r>
              <w:rPr>
                <w:rStyle w:val="21"/>
                <w:lang w:val="en-US" w:eastAsia="zh-CN" w:bidi="ar"/>
              </w:rPr>
              <w:t>cm</w:t>
            </w:r>
            <w:r>
              <w:rPr>
                <w:rStyle w:val="20"/>
                <w:lang w:val="en-US" w:eastAsia="zh-CN" w:bidi="ar"/>
              </w:rPr>
              <w:t>，12丛/㎡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微地形堆积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土方平衡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注：1.送货地址：西咸能源金贸区中央公园及地下空间工程B区项目·绿化工程指定卸车点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2.供货周期：接买方订单计划后30日内送到西咸能源金贸区中央公园及地下空间工程B区项目·绿化工程指定卸车点。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（二）技术要求：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报价要求：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1.报价单位应充分考虑</w:t>
      </w:r>
      <w:r>
        <w:rPr>
          <w:rFonts w:hint="eastAsia" w:ascii="宋体" w:hAnsi="宋体" w:eastAsia="宋体" w:cs="宋体"/>
          <w:kern w:val="2"/>
          <w:sz w:val="28"/>
          <w:szCs w:val="28"/>
        </w:rPr>
        <w:t>本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的实际，依据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我公司具体要求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，根据企业自身情况以及谈价文件的要求，进行自主报价。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报价人的投标报价，应是完成本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</w:rPr>
        <w:t>范围及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供货周</w:t>
      </w:r>
      <w:r>
        <w:rPr>
          <w:rFonts w:hint="eastAsia" w:ascii="宋体" w:hAnsi="宋体" w:eastAsia="宋体" w:cs="宋体"/>
          <w:kern w:val="2"/>
          <w:sz w:val="28"/>
          <w:szCs w:val="28"/>
        </w:rPr>
        <w:t>期、质量的全部要求的内容。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投标报价均包括但不限于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材料费、吊装费、仓储保管费、运输费、税费、利润等一切相关费用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，以及报价人在报价前明示或暗示的所有风险、责任和义务。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报价人应综合考虑各种因素进行报价，凡在报价中未列明的，将视为优惠，认为报价人自行放弃该部分费用，结算时不进行调整。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报价实行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固定单价</w:t>
      </w:r>
      <w:r>
        <w:rPr>
          <w:rFonts w:hint="eastAsia" w:ascii="宋体" w:hAnsi="宋体" w:eastAsia="宋体" w:cs="宋体"/>
          <w:kern w:val="2"/>
          <w:sz w:val="28"/>
          <w:szCs w:val="28"/>
        </w:rPr>
        <w:t>，报价单位充分考虑各种风险，单价一次包死，不予调整。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数量根据到场数量据实结算。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6.开具增值税专用发票。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7.付款方式：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合同签订后，支付10%作为预付款，产品交付经买方验收合格，卖方向买方出具全额增值税专用发票，买方支付验收合格产品货款的97%，剩余3%作为质保金。产品质量保证期限届满后，如未发生质量问题，买方一次性无息付清质保金。同时本项目付款依据建设单位资金支付情况，支付期间不计延期支付利息。卖方不能因为付款影响供货，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延误项目工期。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8.根据当前疫情状况，报价单位需综合考虑疫情影响因素。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四、递交的资料及时间：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具有独立法人资格,且具备有效合格的统一社会信用代码的营业执照；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洽谈人授权委托书（法定代表人直接参加的，只需携带身份证）、授权人身份证复印件、法人身份证复印件；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（三）厂家资质证明资料及近三年供货业绩；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（四）洽谈报价；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（五）在“国家企业信用信息公示系统”网站、“信用中国”网站未被列为失信被执行人（提供查询结果网页截图）；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（六）售后服务及质量保证承诺等。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（七）报价文件份数及其他要求：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一套正本、两套副本，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文件封面、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函等应均加盖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印章并经法定代表人或其委托代理人签字（章）。由委托代理人签字或盖章的在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文件中须同时提交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文件签署授权委托书。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对错误处须修改外，全套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文件应无涂改或行间插字和增删。如有修改，修改处应由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加盖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的印章或由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文件签字人签（章）。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（八）密封要求：封套上应载明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报价单位名称、报价单位地址、项目名称，报价文件在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9：00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前不得开启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（九）报价文件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递交资料时间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24</w:t>
      </w:r>
      <w:bookmarkStart w:id="4" w:name="_GoBack"/>
      <w:bookmarkEnd w:id="4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9：00前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，地点为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西咸能源金贸区中央公园及地下空间工程B区项目·绿化工程项目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逾期送达的或者未送达指定地点的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逾期恕不接受。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五、联系方式：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    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zh-TW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西安市高陵区中钢大道中段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联 系 人：付绍平       邮箱：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instrText xml:space="preserve"> HYPERLINK "mailto:350731586@qq.com"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873173462@qq.com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联系电话：18695219901</w:t>
      </w:r>
    </w:p>
    <w:p>
      <w:pPr>
        <w:numPr>
          <w:ilvl w:val="0"/>
          <w:numId w:val="4"/>
        </w:numPr>
        <w:spacing w:line="580" w:lineRule="exact"/>
        <w:ind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评审方法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初步评审标准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初步评审标准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(此项不符合要求将取消资格)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1.相关证件名称、地址等信息真实、一致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2.投标人在“国家企业信用信息公示系统”网站、“信用中国”网站未被列为失信被执行人（提供查询结果网页截图）；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3.业绩真实有效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详细评审标准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(总分100分)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pStyle w:val="15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总评价分=技术分×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 + 商务分×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 ，按四舍五入原则保留2位小数。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855" w:firstLineChars="1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报价评分细则</w:t>
      </w:r>
    </w:p>
    <w:tbl>
      <w:tblPr>
        <w:tblStyle w:val="6"/>
        <w:tblW w:w="4987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48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right"/>
        </w:trPr>
        <w:tc>
          <w:tcPr>
            <w:tcW w:w="3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46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41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1" w:hRule="atLeast"/>
          <w:jc w:val="right"/>
        </w:trPr>
        <w:tc>
          <w:tcPr>
            <w:tcW w:w="3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商务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部分</w:t>
            </w:r>
          </w:p>
        </w:tc>
        <w:tc>
          <w:tcPr>
            <w:tcW w:w="46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100分</w:t>
            </w:r>
          </w:p>
        </w:tc>
        <w:tc>
          <w:tcPr>
            <w:tcW w:w="41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1.经初审合格的投标响应文件，其报价为有效投标报价。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2.满足实质性要求并且完全响应报价要求的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最低二次报价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为基准价。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3.报价得分：①最终报价高于投标基准价：每高于基准价1%，扣1分；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4.报价不完整的，不进入评标标准价的计算，本项得0分。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5.经评委一致认定，投标最终总报价低于成本价，其响应将被拒绝。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614" w:firstLineChars="15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技术标评分细则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92"/>
        <w:gridCol w:w="1108"/>
        <w:gridCol w:w="705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4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5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总分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标准分值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配送周期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文件要求供货期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进行评比，满足要求得基本分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分，每提前一天加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分，最多加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企业业绩及实力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单位提供其近三年的同类业绩合同，提供三份得基本分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分，每增加一份同类业绩合同加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分，最高加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合同额累计在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万以上得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分，合同累计额每增加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万增加2分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最高增加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此项得分为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售后服务及质量保证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提供完善的售后服务及质量保证体系证明文件，质量保证明确可行、承诺好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售后服务及质量保证较明确、承诺较好或一般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售后服务及质量保证体系不完善、承诺一般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不可行或无质量承诺保证，不得成为中标候选人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七、确定单位程序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依据各单位提交的报价文件，由谈判小组依次与递交合格报价单的单位进行谈判，谈判后各单位根据实际情况进行第二次报价。谈判小组依据第二次报价，综合各单位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业绩、实力及服务承诺等方面</w:t>
      </w:r>
      <w:r>
        <w:rPr>
          <w:rFonts w:hint="eastAsia" w:ascii="宋体" w:hAnsi="宋体" w:eastAsia="宋体" w:cs="宋体"/>
          <w:sz w:val="28"/>
          <w:szCs w:val="28"/>
        </w:rPr>
        <w:t>综合评判，确定本项目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合作</w:t>
      </w:r>
      <w:r>
        <w:rPr>
          <w:rFonts w:hint="eastAsia" w:ascii="宋体" w:hAnsi="宋体" w:eastAsia="宋体" w:cs="宋体"/>
          <w:sz w:val="28"/>
          <w:szCs w:val="28"/>
        </w:rPr>
        <w:t>单位。</w:t>
      </w:r>
    </w:p>
    <w:p>
      <w:pPr>
        <w:pStyle w:val="1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陕西燃气集团工程有限公司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sectPr>
          <w:footerReference r:id="rId6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年  月  日</w:t>
      </w: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（正本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副本）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陕西燃气集团工程有限公司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  <w:t>西咸能源金贸区中央公园及地下空间工程B区项目·绿化工程绿植采购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  <w:t>谈判响应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文件</w:t>
      </w:r>
    </w:p>
    <w:p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 xml:space="preserve">               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pStyle w:val="10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center" w:pos="5346"/>
        </w:tabs>
        <w:wordWrap/>
        <w:bidi w:val="0"/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谈判响应单位名称（公章）</w:t>
      </w:r>
    </w:p>
    <w:p>
      <w:pPr>
        <w:keepNext w:val="0"/>
        <w:keepLines w:val="0"/>
        <w:pageBreakBefore w:val="0"/>
        <w:tabs>
          <w:tab w:val="center" w:pos="5346"/>
        </w:tabs>
        <w:wordWrap/>
        <w:bidi w:val="0"/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法人或委托代理人(签字或盖章)：</w:t>
      </w:r>
    </w:p>
    <w:p>
      <w:pPr>
        <w:spacing w:line="360" w:lineRule="auto"/>
        <w:ind w:firstLine="3253" w:firstLineChars="900"/>
        <w:jc w:val="both"/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二〇二三年二月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highlight w:val="none"/>
        </w:rPr>
      </w:pPr>
      <w:bookmarkStart w:id="1" w:name="_Toc344572156"/>
      <w:r>
        <w:rPr>
          <w:rFonts w:hint="eastAsia" w:ascii="宋体" w:hAnsi="宋体" w:eastAsia="宋体" w:cs="宋体"/>
          <w:b/>
          <w:color w:val="auto"/>
          <w:sz w:val="44"/>
          <w:highlight w:val="none"/>
        </w:rPr>
        <w:t>目  录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报价表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分项报价表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法人代表授权委托书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578" w:firstLineChars="200"/>
        <w:jc w:val="both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偏离表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578" w:firstLineChars="200"/>
        <w:jc w:val="both"/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资格证明文件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  <w:t>质量保证和售后服务承诺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  <w:t>七、邀请函回执</w:t>
      </w: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bookmarkEnd w:id="1"/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西咸能源金贸区中央公园及地下空间工程B区项目·绿化工程绿植采购报价单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sz w:val="36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单位：元</w:t>
      </w:r>
    </w:p>
    <w:tbl>
      <w:tblPr>
        <w:tblStyle w:val="6"/>
        <w:tblW w:w="972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716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报价</w:t>
            </w:r>
          </w:p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洽谈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含税报价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供货期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exact"/>
        </w:trPr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西咸能源金贸区中央公园及地下空间工程B区项目·绿化工程绿植采购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exact"/>
        </w:trPr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含税金额大写：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。小写 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元，其中不含税金额：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元，税率：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盖</w:t>
      </w:r>
      <w:r>
        <w:rPr>
          <w:rFonts w:hint="eastAsia" w:ascii="宋体" w:hAnsi="宋体" w:eastAsia="宋体" w:cs="宋体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</w:rPr>
        <w:t>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p>
      <w:pPr>
        <w:pStyle w:val="2"/>
        <w:keepNext w:val="0"/>
        <w:keepLines w:val="0"/>
        <w:pageBreakBefore w:val="0"/>
        <w:kinsoku/>
        <w:wordWrap/>
        <w:bidi w:val="0"/>
        <w:adjustRightInd w:val="0"/>
        <w:snapToGrid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bidi w:val="0"/>
        <w:adjustRightInd w:val="0"/>
        <w:snapToGrid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sectPr>
          <w:pgSz w:w="11906" w:h="16838"/>
          <w:pgMar w:top="2098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西咸能源金贸区中央公园及地下空间工程A区项目·绿化工程绿植采购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分项报价表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20" w:firstLineChars="200"/>
        <w:jc w:val="right"/>
        <w:outlineLvl w:val="9"/>
        <w:rPr>
          <w:rFonts w:hint="eastAsia" w:ascii="宋体" w:hAnsi="宋体" w:eastAsia="宋体" w:cs="宋体"/>
          <w:sz w:val="21"/>
          <w:szCs w:val="24"/>
        </w:rPr>
      </w:pPr>
      <w:bookmarkStart w:id="2" w:name="_Toc15395"/>
      <w:bookmarkStart w:id="3" w:name="_Toc23922"/>
      <w:r>
        <w:rPr>
          <w:rFonts w:hint="eastAsia" w:ascii="宋体" w:hAnsi="宋体" w:eastAsia="宋体" w:cs="宋体"/>
          <w:sz w:val="21"/>
          <w:szCs w:val="24"/>
        </w:rPr>
        <w:t>共  页，第  页</w:t>
      </w:r>
      <w:bookmarkEnd w:id="2"/>
      <w:bookmarkEnd w:id="3"/>
    </w:p>
    <w:tbl>
      <w:tblPr>
        <w:tblStyle w:val="7"/>
        <w:tblW w:w="13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513"/>
        <w:gridCol w:w="3895"/>
        <w:gridCol w:w="1057"/>
        <w:gridCol w:w="1396"/>
        <w:gridCol w:w="1311"/>
        <w:gridCol w:w="1163"/>
        <w:gridCol w:w="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分项工程名称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计划数量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含税单价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不含税单价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楸树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径：15-18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，高度：600-700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以上，树冠完整,分支点2.5-3m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日本花柏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高度：250-300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幅：250-300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 树冠完整,树形要求饱满,看样定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景观树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品种、树形看样定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三角枫A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径：18-20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，高度：600-700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以上，树冠完整,分支点1.8-2m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刺槐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径：13-15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，高度：400-500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以上，树冠完整,分支点2-2.5m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丛生皂荚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高度：800-900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幅：400-500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，全冠、丛生状、3-5支、每支胸径13-15cm以上、树形优美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国槐A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，高度：800-900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以上，树冠完整,分支点2.5m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银杏(特)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，高度：600-700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以上，树冠完整,分支点2-2.5m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径：13-15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，高度：400-500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以上，树冠完整,分支点1.8-2m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银芽柳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高度：200-250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幅：180-230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，树冠完整,树形优美,低分枝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柱状石楠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高度：180-200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，要求不要脱脚苗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高接大花月季(红花)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高度：100-120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幅：100-120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，株距1.5m,砧木高不超过35cm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百慕大草坪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百慕大草坪,冬季撒播黑麦草,保持常绿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10973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八宝景天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高度：25-30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，36株/㎡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美人蕉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高度：35-40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幅：25-30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，12丛/㎡,营养钵苗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黄花鸢尾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，25丛/㎡,3-5芽/丛,营养钵苗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蓝冰麦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高度：60-80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幅：40-50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，16丛/㎡,营养钵苗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红叶石楠高篱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高度：150-180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幅：60-80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，株距60x60cm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矮棕榈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高度：80-100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幅：50-60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，株距40x40cm,苗圃小苗,不脱脚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金叶莸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高度：35-40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幅：30-35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，三年生苗,株距20x20cm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大花重瓣蜀葵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36丛/m2,黄、粉、紫、红等 混色栽植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花叶杞柳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 幅：40-50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，16丛/㎡,营养钵苗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柳叶马鞭草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36丛/㎡,营养钵苗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爬山虎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岩墙边栽种,三年生苗,株距30x30cm,枝长1m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刚竹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 径：干径2-3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，高度：200-300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，10-12株/㎡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灌生淡竹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高度：180-200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，4丛/m2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观赏草坪(果岭草)高尔夫球场标准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草皮卷,由专业单位施工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匍匐剪股颖草坪(建筑屋面绿化)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草皮卷,由专业单位施工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香蒲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高度：40-50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，25株/㎡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黄花水生鸢尾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，20-25丛/㎡,每丛2-3芽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紫花水生鸢尾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，25丛/㎡,每丛8芽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雨久花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高度：20-25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幅：15-20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，25丛/㎡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再力花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高度：60-80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，冠 幅：40-50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，12丛/㎡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49450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微地形堆积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土方平衡</w:t>
            </w:r>
          </w:p>
        </w:tc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3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2307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不含税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养护期均为一年。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法定代表人/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委托代理人：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（盖章）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both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587" w:right="2098" w:bottom="1474" w:left="192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36"/>
          <w:highlight w:val="none"/>
        </w:rPr>
        <w:t>法人代表授权委托书</w:t>
      </w:r>
    </w:p>
    <w:p>
      <w:pPr>
        <w:keepNext w:val="0"/>
        <w:keepLines w:val="0"/>
        <w:pageBreakBefore w:val="0"/>
        <w:kinsoku/>
        <w:wordWrap/>
        <w:topLinePunct/>
        <w:bidi w:val="0"/>
        <w:spacing w:after="0" w:line="240" w:lineRule="auto"/>
        <w:ind w:leftChars="0" w:right="0" w:rightChars="0"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（姓名）系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名称）的法定代表人，现委托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>西咸能源金贸区中央公园及地下空间工程B区项目·绿化工程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绿植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采购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洽谈报价</w:t>
      </w:r>
      <w:r>
        <w:rPr>
          <w:rFonts w:hint="eastAsia" w:ascii="宋体" w:hAnsi="宋体" w:eastAsia="宋体" w:cs="宋体"/>
          <w:sz w:val="28"/>
          <w:szCs w:val="28"/>
        </w:rPr>
        <w:t>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委托期限：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及代理人</w:t>
      </w:r>
      <w:r>
        <w:rPr>
          <w:rFonts w:hint="eastAsia" w:ascii="宋体" w:hAnsi="宋体" w:eastAsia="宋体" w:cs="宋体"/>
          <w:sz w:val="28"/>
          <w:szCs w:val="28"/>
        </w:rPr>
        <w:t>身份证明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（签字</w:t>
      </w:r>
      <w:r>
        <w:rPr>
          <w:rFonts w:hint="eastAsia" w:ascii="宋体" w:hAnsi="宋体" w:eastAsia="宋体" w:cs="宋体"/>
          <w:sz w:val="28"/>
          <w:szCs w:val="28"/>
        </w:rPr>
        <w:t>或盖章）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</w:rPr>
        <w:t xml:space="preserve">或盖章） 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四、商务、技术响应偏离表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509"/>
        <w:gridCol w:w="2768"/>
        <w:gridCol w:w="146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谈判文件商务、    技术要求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报价文件商务、    技术响应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偏离   情况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偏离  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after="0" w:line="36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right="0" w:rightChars="0"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right="0" w:rightChars="0" w:firstLine="840" w:firstLineChars="300"/>
        <w:jc w:val="both"/>
        <w:textAlignment w:val="bottom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法定代表人/委托代理人（签字或盖章）：</w:t>
      </w: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leftChars="0" w:right="0" w:rightChars="0" w:firstLine="5880" w:firstLineChars="2100"/>
        <w:jc w:val="both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五、资格证明文件</w:t>
      </w: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exact"/>
        <w:ind w:leftChars="200"/>
        <w:jc w:val="both"/>
        <w:rPr>
          <w:rFonts w:hint="eastAsia" w:ascii="宋体" w:hAnsi="宋体" w:eastAsia="宋体" w:cs="宋体"/>
          <w:b/>
          <w:color w:val="000000"/>
          <w:spacing w:val="1"/>
          <w:sz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exact"/>
        <w:ind w:leftChars="200"/>
        <w:jc w:val="center"/>
        <w:rPr>
          <w:rFonts w:hint="eastAsia" w:ascii="宋体" w:hAnsi="宋体" w:eastAsia="宋体" w:cs="宋体"/>
          <w:b/>
          <w:color w:val="000000"/>
          <w:spacing w:val="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36"/>
          <w:szCs w:val="36"/>
          <w:lang w:eastAsia="zh-CN"/>
        </w:rPr>
        <w:t>六、质量保证和售后服务承诺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1.产品质量保证措施；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2.投标人完成本项目的保障能力；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3.交货期保证措施；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4.报价单位服务承诺书；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5.报价单位认为有必要说明的问题。</w:t>
      </w:r>
    </w:p>
    <w:p>
      <w:pPr>
        <w:pStyle w:val="1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pStyle w:val="1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pStyle w:val="1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委托代理人（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或盖章）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洽谈单位（盖章）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      期：</w:t>
      </w:r>
    </w:p>
    <w:p>
      <w:pPr>
        <w:kinsoku w:val="0"/>
        <w:spacing w:line="58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 w:ascii="宋体" w:hAnsi="宋体" w:eastAsia="宋体" w:cs="宋体"/>
        </w:rPr>
      </w:pPr>
    </w:p>
    <w:p>
      <w:pPr>
        <w:pStyle w:val="11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 陕西燃气集团工程有限公司</w:t>
      </w:r>
    </w:p>
    <w:p>
      <w:pPr>
        <w:pStyle w:val="11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西咸能源金贸区中央公园及地下空间工程B区项目·绿化工程绿植采购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西咸能源金贸区中央公园及地下空间工程B区项目·绿化工程绿植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2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7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374F0B1-7D7B-4575-AB81-896D90BBC7B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D4FD0"/>
    <w:multiLevelType w:val="singleLevel"/>
    <w:tmpl w:val="8F4D4F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F8C621"/>
    <w:multiLevelType w:val="singleLevel"/>
    <w:tmpl w:val="0DF8C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FD2EC3"/>
    <w:multiLevelType w:val="singleLevel"/>
    <w:tmpl w:val="72FD2E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5A8053"/>
    <w:multiLevelType w:val="singleLevel"/>
    <w:tmpl w:val="755A80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5EA774FE"/>
    <w:rsid w:val="00170591"/>
    <w:rsid w:val="03452055"/>
    <w:rsid w:val="04392773"/>
    <w:rsid w:val="0510391D"/>
    <w:rsid w:val="05D63ADD"/>
    <w:rsid w:val="06136E7A"/>
    <w:rsid w:val="061471C9"/>
    <w:rsid w:val="06540E18"/>
    <w:rsid w:val="06AA3D29"/>
    <w:rsid w:val="0798099B"/>
    <w:rsid w:val="080442DB"/>
    <w:rsid w:val="0A647A2D"/>
    <w:rsid w:val="0C932C75"/>
    <w:rsid w:val="0CE970E1"/>
    <w:rsid w:val="0DC671F9"/>
    <w:rsid w:val="0EB153F9"/>
    <w:rsid w:val="0F4D5C3A"/>
    <w:rsid w:val="0FDD14A1"/>
    <w:rsid w:val="10E36DD8"/>
    <w:rsid w:val="15421315"/>
    <w:rsid w:val="15FA4078"/>
    <w:rsid w:val="16991DE6"/>
    <w:rsid w:val="17120649"/>
    <w:rsid w:val="182F0924"/>
    <w:rsid w:val="18F40252"/>
    <w:rsid w:val="1BF20AF0"/>
    <w:rsid w:val="1C8F019D"/>
    <w:rsid w:val="1D484F1C"/>
    <w:rsid w:val="1D602588"/>
    <w:rsid w:val="1FBF77C0"/>
    <w:rsid w:val="205F7B31"/>
    <w:rsid w:val="21DC2C3A"/>
    <w:rsid w:val="224D249B"/>
    <w:rsid w:val="23A9103B"/>
    <w:rsid w:val="23ED7834"/>
    <w:rsid w:val="2543318A"/>
    <w:rsid w:val="264E5F6D"/>
    <w:rsid w:val="282C0BEE"/>
    <w:rsid w:val="2899631A"/>
    <w:rsid w:val="293F2DAB"/>
    <w:rsid w:val="29D92547"/>
    <w:rsid w:val="2AA2741B"/>
    <w:rsid w:val="2B891519"/>
    <w:rsid w:val="2CBD75AC"/>
    <w:rsid w:val="2EDB238E"/>
    <w:rsid w:val="306F7A16"/>
    <w:rsid w:val="321269E6"/>
    <w:rsid w:val="37C05BA3"/>
    <w:rsid w:val="38712ACF"/>
    <w:rsid w:val="38EC0D5C"/>
    <w:rsid w:val="39B97E2A"/>
    <w:rsid w:val="39E06615"/>
    <w:rsid w:val="3C494026"/>
    <w:rsid w:val="403D70AF"/>
    <w:rsid w:val="41797B95"/>
    <w:rsid w:val="43A25A39"/>
    <w:rsid w:val="43C63DE8"/>
    <w:rsid w:val="44A2555F"/>
    <w:rsid w:val="451F2AFF"/>
    <w:rsid w:val="452C6B7A"/>
    <w:rsid w:val="455A0EAE"/>
    <w:rsid w:val="45894BBC"/>
    <w:rsid w:val="49301FA9"/>
    <w:rsid w:val="4AB918AE"/>
    <w:rsid w:val="4B88642E"/>
    <w:rsid w:val="4F5F2BA5"/>
    <w:rsid w:val="4F89026C"/>
    <w:rsid w:val="4FC03A9E"/>
    <w:rsid w:val="4FC77FB6"/>
    <w:rsid w:val="50612334"/>
    <w:rsid w:val="5096072D"/>
    <w:rsid w:val="50A10742"/>
    <w:rsid w:val="5308411E"/>
    <w:rsid w:val="53590710"/>
    <w:rsid w:val="536A3E77"/>
    <w:rsid w:val="53E4329C"/>
    <w:rsid w:val="53E703A8"/>
    <w:rsid w:val="55CF1507"/>
    <w:rsid w:val="566454E2"/>
    <w:rsid w:val="56F341BA"/>
    <w:rsid w:val="58CE464F"/>
    <w:rsid w:val="58E572B4"/>
    <w:rsid w:val="5C9E71BC"/>
    <w:rsid w:val="5EA774FE"/>
    <w:rsid w:val="5EF01EB6"/>
    <w:rsid w:val="60D27BF9"/>
    <w:rsid w:val="61254D06"/>
    <w:rsid w:val="614D7168"/>
    <w:rsid w:val="61CF1DC4"/>
    <w:rsid w:val="62D623C0"/>
    <w:rsid w:val="637F6141"/>
    <w:rsid w:val="638B2FC4"/>
    <w:rsid w:val="653F11DF"/>
    <w:rsid w:val="673A12D1"/>
    <w:rsid w:val="67A148B0"/>
    <w:rsid w:val="6C5753C6"/>
    <w:rsid w:val="70A77FE4"/>
    <w:rsid w:val="70BE0BF9"/>
    <w:rsid w:val="72BC02C0"/>
    <w:rsid w:val="72E611B6"/>
    <w:rsid w:val="738A4569"/>
    <w:rsid w:val="747333D8"/>
    <w:rsid w:val="74BF4B6E"/>
    <w:rsid w:val="78C2205D"/>
    <w:rsid w:val="78E94F49"/>
    <w:rsid w:val="7C106D34"/>
    <w:rsid w:val="7E690767"/>
    <w:rsid w:val="7E7E4748"/>
    <w:rsid w:val="7EF33996"/>
    <w:rsid w:val="7F372A6A"/>
    <w:rsid w:val="7FD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2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3">
    <w:name w:val="正文文本4"/>
    <w:basedOn w:val="1"/>
    <w:qFormat/>
    <w:uiPriority w:val="0"/>
    <w:pPr>
      <w:shd w:val="clear" w:color="auto" w:fill="FFFFFF"/>
      <w:spacing w:before="660" w:line="420" w:lineRule="exact"/>
      <w:ind w:hanging="720"/>
      <w:jc w:val="distribute"/>
    </w:pPr>
    <w:rPr>
      <w:rFonts w:ascii="MingLiU" w:hAnsi="MingLiU" w:eastAsia="MingLiU"/>
      <w:kern w:val="0"/>
      <w:sz w:val="19"/>
      <w:szCs w:val="19"/>
    </w:rPr>
  </w:style>
  <w:style w:type="paragraph" w:customStyle="1" w:styleId="14">
    <w:name w:val="Normal_43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15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kern w:val="0"/>
      <w:sz w:val="20"/>
      <w:szCs w:val="20"/>
    </w:rPr>
  </w:style>
  <w:style w:type="character" w:customStyle="1" w:styleId="16">
    <w:name w:val="font11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01"/>
    <w:basedOn w:val="8"/>
    <w:qFormat/>
    <w:uiPriority w:val="0"/>
    <w:rPr>
      <w:rFonts w:hint="default" w:ascii="Calibri" w:hAnsi="Calibri" w:cs="Calibri"/>
      <w:b/>
      <w:bCs/>
      <w:color w:val="000000"/>
      <w:sz w:val="20"/>
      <w:szCs w:val="20"/>
      <w:u w:val="none"/>
    </w:rPr>
  </w:style>
  <w:style w:type="character" w:customStyle="1" w:styleId="20">
    <w:name w:val="font1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4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4895</Words>
  <Characters>6052</Characters>
  <Lines>0</Lines>
  <Paragraphs>0</Paragraphs>
  <TotalTime>36</TotalTime>
  <ScaleCrop>false</ScaleCrop>
  <LinksUpToDate>false</LinksUpToDate>
  <CharactersWithSpaces>6741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2020-08-04T02:00:00Z</dcterms:created>
  <dc:creator>煜</dc:creator>
  <cp:lastModifiedBy>admin</cp:lastModifiedBy>
  <cp:lastPrinted>2023-02-20T07:08:00Z</cp:lastPrinted>
  <dcterms:modified xsi:type="dcterms:W3CDTF">2023-02-21T06:17:57Z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821F2EFECCD646B2AADD2DFF978D0808</vt:lpwstr>
  </property>
</Properties>
</file>