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36" w:rsidRPr="007A225E" w:rsidRDefault="003E3FC1">
      <w:pPr>
        <w:spacing w:line="360" w:lineRule="auto"/>
        <w:rPr>
          <w:rFonts w:ascii="Times New Roman" w:hAnsi="Times New Roman"/>
        </w:rPr>
      </w:pPr>
      <w:bookmarkStart w:id="0" w:name="_Toc152042287"/>
      <w:bookmarkStart w:id="1" w:name="_Toc152045511"/>
      <w:bookmarkStart w:id="2" w:name="_Toc144974479"/>
      <w:r w:rsidRPr="007A225E">
        <w:t>1</w:t>
      </w:r>
      <w:r w:rsidRPr="007A225E">
        <w:rPr>
          <w:rFonts w:ascii="Times New Roman" w:hAnsi="Times New Roman" w:hint="eastAsia"/>
        </w:rPr>
        <w:t>项目名称：</w:t>
      </w:r>
    </w:p>
    <w:p w:rsidR="00E42D36" w:rsidRPr="007A225E" w:rsidRDefault="003E3FC1">
      <w:pPr>
        <w:spacing w:line="400" w:lineRule="exact"/>
        <w:ind w:firstLineChars="200" w:firstLine="420"/>
        <w:rPr>
          <w:szCs w:val="21"/>
        </w:rPr>
      </w:pPr>
      <w:r w:rsidRPr="007A225E">
        <w:rPr>
          <w:rFonts w:ascii="Times New Roman" w:hAnsi="Times New Roman" w:hint="eastAsia"/>
        </w:rPr>
        <w:t>本次招标</w:t>
      </w:r>
      <w:r w:rsidRPr="007A225E">
        <w:rPr>
          <w:rFonts w:hint="eastAsia"/>
          <w:szCs w:val="21"/>
        </w:rPr>
        <w:t>项目名称</w:t>
      </w:r>
      <w:r w:rsidRPr="007A225E">
        <w:rPr>
          <w:rFonts w:hint="eastAsia"/>
          <w:szCs w:val="21"/>
          <w:u w:val="single"/>
        </w:rPr>
        <w:t>：启动区燃气工程（调压站一期</w:t>
      </w:r>
      <w:bookmarkStart w:id="3" w:name="_GoBack"/>
      <w:bookmarkEnd w:id="3"/>
      <w:r w:rsidRPr="007A225E">
        <w:rPr>
          <w:rFonts w:hint="eastAsia"/>
          <w:szCs w:val="21"/>
          <w:u w:val="single"/>
        </w:rPr>
        <w:t>）</w:t>
      </w:r>
      <w:r w:rsidRPr="007A225E">
        <w:rPr>
          <w:rFonts w:hint="eastAsia"/>
          <w:szCs w:val="21"/>
        </w:rPr>
        <w:t>，项目具体</w:t>
      </w:r>
      <w:r w:rsidRPr="007A225E">
        <w:rPr>
          <w:szCs w:val="21"/>
        </w:rPr>
        <w:t>建设地点、规模、建设工期</w:t>
      </w:r>
      <w:r w:rsidRPr="007A225E">
        <w:rPr>
          <w:rFonts w:hint="eastAsia"/>
          <w:szCs w:val="21"/>
        </w:rPr>
        <w:t>以招标人实际使用为准。</w:t>
      </w:r>
    </w:p>
    <w:p w:rsidR="00E42D36" w:rsidRPr="007A225E" w:rsidRDefault="003E3FC1">
      <w:pPr>
        <w:widowControl/>
        <w:spacing w:line="520" w:lineRule="exact"/>
        <w:ind w:firstLineChars="200" w:firstLine="420"/>
        <w:jc w:val="left"/>
        <w:rPr>
          <w:rFonts w:ascii="仿宋_GB2312" w:eastAsia="仿宋_GB2312" w:hAnsi="Calibri Light"/>
          <w:kern w:val="0"/>
          <w:sz w:val="24"/>
          <w:szCs w:val="24"/>
        </w:rPr>
      </w:pPr>
      <w:r w:rsidRPr="007A225E">
        <w:rPr>
          <w:rFonts w:ascii="Times New Roman" w:hAnsi="Times New Roman" w:hint="eastAsia"/>
        </w:rPr>
        <w:t>2.2</w:t>
      </w:r>
      <w:r w:rsidRPr="007A225E">
        <w:rPr>
          <w:rFonts w:ascii="Times New Roman" w:hAnsi="Times New Roman" w:hint="eastAsia"/>
        </w:rPr>
        <w:t>投标人应提供的直埋电动闸阀的规格、数量具体见</w:t>
      </w:r>
      <w:r w:rsidR="005F28EC" w:rsidRPr="007A225E">
        <w:rPr>
          <w:rFonts w:ascii="Times New Roman" w:hAnsi="Times New Roman" w:hint="eastAsia"/>
        </w:rPr>
        <w:t>附表</w:t>
      </w:r>
      <w:r w:rsidRPr="007A225E">
        <w:rPr>
          <w:rFonts w:ascii="Times New Roman" w:hAnsi="Times New Roman" w:hint="eastAsia"/>
        </w:rPr>
        <w:t>，基本要求等见下表：</w:t>
      </w:r>
    </w:p>
    <w:bookmarkEnd w:id="0"/>
    <w:bookmarkEnd w:id="1"/>
    <w:bookmarkEnd w:id="2"/>
    <w:p w:rsidR="00E42D36" w:rsidRPr="007A225E" w:rsidRDefault="003E3FC1">
      <w:pPr>
        <w:ind w:firstLine="480"/>
        <w:rPr>
          <w:rFonts w:hAnsi="宋体"/>
          <w:bCs/>
          <w:szCs w:val="24"/>
        </w:rPr>
      </w:pPr>
      <w:r w:rsidRPr="007A225E">
        <w:rPr>
          <w:rFonts w:hAnsi="宋体" w:hint="eastAsia"/>
          <w:bCs/>
          <w:szCs w:val="24"/>
        </w:rPr>
        <w:t>本标书中规定的标注“</w:t>
      </w:r>
      <w:r w:rsidRPr="007A225E">
        <w:rPr>
          <w:rFonts w:ascii="宋体" w:hAnsi="宋体" w:hint="eastAsia"/>
          <w:bCs/>
          <w:szCs w:val="24"/>
        </w:rPr>
        <w:t>★</w:t>
      </w:r>
      <w:r w:rsidRPr="007A225E">
        <w:rPr>
          <w:rFonts w:hAnsi="宋体" w:hint="eastAsia"/>
          <w:bCs/>
          <w:szCs w:val="24"/>
        </w:rPr>
        <w:t>”的条款如有一项负偏离，投标将被否决。</w:t>
      </w:r>
    </w:p>
    <w:p w:rsidR="00E42D36" w:rsidRPr="007A225E" w:rsidRDefault="003E3FC1">
      <w:pPr>
        <w:ind w:firstLine="480"/>
        <w:rPr>
          <w:rFonts w:hAnsi="宋体"/>
          <w:bCs/>
          <w:szCs w:val="24"/>
        </w:rPr>
      </w:pPr>
      <w:r w:rsidRPr="007A225E">
        <w:rPr>
          <w:rFonts w:hAnsi="宋体" w:hint="eastAsia"/>
          <w:bCs/>
          <w:szCs w:val="24"/>
        </w:rPr>
        <w:t xml:space="preserve">                       </w:t>
      </w:r>
      <w:r w:rsidRPr="007A225E">
        <w:rPr>
          <w:rFonts w:hAnsi="宋体" w:hint="eastAsia"/>
          <w:bCs/>
          <w:szCs w:val="24"/>
        </w:rPr>
        <w:t>直埋电动闸阀技术数据表</w:t>
      </w:r>
    </w:p>
    <w:tbl>
      <w:tblPr>
        <w:tblStyle w:val="a5"/>
        <w:tblW w:w="0" w:type="auto"/>
        <w:tblInd w:w="-176" w:type="dxa"/>
        <w:tblLook w:val="04A0"/>
      </w:tblPr>
      <w:tblGrid>
        <w:gridCol w:w="568"/>
        <w:gridCol w:w="709"/>
        <w:gridCol w:w="1559"/>
        <w:gridCol w:w="2551"/>
        <w:gridCol w:w="993"/>
        <w:gridCol w:w="2139"/>
      </w:tblGrid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Cs w:val="24"/>
              </w:rPr>
            </w:pPr>
            <w:r w:rsidRPr="007A225E">
              <w:rPr>
                <w:rFonts w:hAnsi="宋体"/>
                <w:bCs/>
                <w:szCs w:val="24"/>
              </w:rPr>
              <w:t>序号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Cs w:val="24"/>
              </w:rPr>
            </w:pPr>
            <w:r w:rsidRPr="007A225E">
              <w:rPr>
                <w:rFonts w:hAnsi="宋体"/>
                <w:bCs/>
                <w:szCs w:val="24"/>
              </w:rPr>
              <w:t>指标类型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Cs w:val="24"/>
              </w:rPr>
            </w:pPr>
            <w:r w:rsidRPr="007A225E">
              <w:rPr>
                <w:rFonts w:hAnsi="宋体"/>
                <w:bCs/>
                <w:szCs w:val="24"/>
              </w:rPr>
              <w:t>指标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Cs w:val="24"/>
              </w:rPr>
            </w:pPr>
            <w:r w:rsidRPr="007A225E">
              <w:rPr>
                <w:rFonts w:hAnsi="宋体"/>
                <w:bCs/>
                <w:szCs w:val="24"/>
              </w:rPr>
              <w:t>招标方要求</w:t>
            </w:r>
          </w:p>
        </w:tc>
        <w:tc>
          <w:tcPr>
            <w:tcW w:w="993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Cs w:val="24"/>
              </w:rPr>
            </w:pPr>
            <w:r w:rsidRPr="007A225E">
              <w:rPr>
                <w:rFonts w:hAnsi="宋体"/>
                <w:bCs/>
                <w:szCs w:val="24"/>
              </w:rPr>
              <w:t>投标方数值</w:t>
            </w: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Cs w:val="24"/>
              </w:rPr>
            </w:pPr>
            <w:r w:rsidRPr="007A225E">
              <w:rPr>
                <w:rFonts w:hAnsi="宋体"/>
                <w:bCs/>
                <w:szCs w:val="24"/>
              </w:rPr>
              <w:t>投标方数值来源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ascii="宋体"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地下</w:t>
            </w:r>
            <w:r w:rsidRPr="007A225E">
              <w:rPr>
                <w:rFonts w:hAnsi="宋体"/>
                <w:bCs/>
                <w:sz w:val="18"/>
                <w:szCs w:val="18"/>
              </w:rPr>
              <w:t>直埋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用于</w:t>
            </w:r>
            <w:r w:rsidRPr="007A225E">
              <w:rPr>
                <w:rFonts w:hAnsi="宋体"/>
                <w:bCs/>
                <w:sz w:val="18"/>
                <w:szCs w:val="18"/>
              </w:rPr>
              <w:t>室外地下直埋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/>
                <w:bCs/>
                <w:sz w:val="18"/>
                <w:szCs w:val="18"/>
              </w:rPr>
              <w:t>以整体布置图为准：投标文件提供所投设备的直埋整体布置图，明确供货范围和设备尺寸。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42D36" w:rsidRPr="007A225E" w:rsidRDefault="00E42D36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适用介质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雄安地区天然气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直埋闸阀结构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全通径结构，闸板垂直于阀体通路的轴线垂直升降的暗杆、直埋式免维护闸阀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/>
                <w:bCs/>
                <w:sz w:val="18"/>
                <w:szCs w:val="18"/>
              </w:rPr>
              <w:t>以阀门解剖图为准：投标文件提供所投产品的实物解剖图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。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Chars="100" w:firstLine="18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直埋闸阀连接方式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全焊接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直埋闸阀阀体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整体式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#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</w:t>
            </w:r>
            <w:r w:rsidRPr="007A225E">
              <w:rPr>
                <w:rFonts w:hAnsi="宋体"/>
                <w:bCs/>
                <w:sz w:val="18"/>
                <w:szCs w:val="18"/>
              </w:rPr>
              <w:t>阀板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球墨铸铁材料应为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GGG-45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（标准为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EN1563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）；闸板板芯应整体硫化在丁腈橡胶内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(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丁腈橡胶应获得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DVGW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认证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/>
                <w:bCs/>
                <w:sz w:val="18"/>
                <w:szCs w:val="18"/>
              </w:rPr>
              <w:t>以提供材质单、橡胶认证为准。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</w:t>
            </w:r>
            <w:r w:rsidRPr="007A225E">
              <w:rPr>
                <w:rFonts w:hAnsi="宋体"/>
                <w:bCs/>
                <w:sz w:val="18"/>
                <w:szCs w:val="18"/>
              </w:rPr>
              <w:t>阀杆密封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阀杆密封结构应为可带压更换密封圈式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/>
                <w:bCs/>
                <w:sz w:val="18"/>
                <w:szCs w:val="18"/>
              </w:rPr>
              <w:t>以提供支持技术资料为准。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#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</w:t>
            </w:r>
            <w:r w:rsidRPr="007A225E">
              <w:rPr>
                <w:rFonts w:hAnsi="宋体"/>
                <w:bCs/>
                <w:sz w:val="18"/>
                <w:szCs w:val="18"/>
              </w:rPr>
              <w:t>防腐涂层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闸阀内、外表面应进行喷涂防腐处理，涂层应为环氧树脂静电粉末喷涂涂层，涂层厚度及机械性能应符合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DIN30677-2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标准和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GSK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准则。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以提供涂层认证为准。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直埋闸阀阀体壁厚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应符合《石油、天然气工业用螺栓连接阀盖的钢制闸阀》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 GB/T 12234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或《工业阀门》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EN1171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的规定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直埋闸阀结构尺寸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应符合《金属阀门结构长度》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 GB/T 12221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或《阀门的面对面端对端尺寸》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 ASME B16.10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或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《工业阀门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-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对焊连接阀门的结构长度尺寸》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EN12982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的要求。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阀门操作扭矩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阀门启闭最大扭矩应符合国标或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EN13774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标准的规定。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阀门延长杆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可提供配套使用可伸缩延长杆。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</w:t>
            </w:r>
            <w:r w:rsidRPr="007A225E">
              <w:rPr>
                <w:rFonts w:hAnsi="宋体"/>
                <w:bCs/>
                <w:sz w:val="18"/>
                <w:szCs w:val="18"/>
              </w:rPr>
              <w:t>产品认证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产品具有国家认可的检测单位出具的型式检测报告或德国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DVGW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认证、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DVGW CE-PED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认证或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BSI </w:t>
            </w:r>
            <w:proofErr w:type="spellStart"/>
            <w:r w:rsidRPr="007A225E">
              <w:rPr>
                <w:rFonts w:hAnsi="宋体" w:hint="eastAsia"/>
                <w:bCs/>
                <w:sz w:val="18"/>
                <w:szCs w:val="18"/>
              </w:rPr>
              <w:t>Kitemark</w:t>
            </w:r>
            <w:proofErr w:type="spellEnd"/>
            <w:r w:rsidRPr="007A225E">
              <w:rPr>
                <w:rFonts w:hAnsi="宋体" w:hint="eastAsia"/>
                <w:bCs/>
                <w:sz w:val="18"/>
                <w:szCs w:val="18"/>
              </w:rPr>
              <w:t>认证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直埋闸阀壳体强度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应能满足在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1.5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倍阀门设计压力的水压试验条件下，保压时间内无明显可见的液滴或表面潮湿，保压时间应符合下表《保持试验压力的持续时间》的要求。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直埋闸阀密封性能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应保证在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1.1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倍阀门设计压力的气压试验条件下，保压时间内无可见的泄漏，保压时间应符合本标准上表《保持试验压力的持续时间》的要求。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直埋闸阀低压密封性能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应保证在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0.6MPa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气压试验条件下，保压时间内无可见的泄漏，保压时间应符合本标准表《保持试验压力的持续时间》的要求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闸阀液压测试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符合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DIN3230-5,PG3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电动执行器供电电源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220V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±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10%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或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380V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±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10%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，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50Hz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±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5%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，电源电压降至负值极限时执行器能够正常启动，并保证其行程变化不大于全行程的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1.5%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电动执行器工作制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每小时允许接通次数为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600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次或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S3-50%60min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电动执行器编码器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对位置编码器或绝对扭矩编码器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322"/>
        </w:trPr>
        <w:tc>
          <w:tcPr>
            <w:tcW w:w="568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电动执行器马达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单相异步电机或永磁同步电机或三相鼠笼式异步电机，绝缘等级不低于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B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，绕组中每相都串有过热保护开关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1025"/>
        </w:trPr>
        <w:tc>
          <w:tcPr>
            <w:tcW w:w="568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</w:t>
            </w:r>
            <w:r w:rsidRPr="007A225E">
              <w:rPr>
                <w:rFonts w:hAnsi="宋体"/>
                <w:bCs/>
                <w:sz w:val="18"/>
                <w:szCs w:val="18"/>
              </w:rPr>
              <w:t>执行机构防爆等级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防爆等级符合或高于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ATEX 2014/34/EU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标准规定。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1025"/>
        </w:trPr>
        <w:tc>
          <w:tcPr>
            <w:tcW w:w="568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电动执行机构工作温度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标准型电动执行机构的工作温度范围为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–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30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摄氏度～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 +40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摄氏度。正常带动阀门时，在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100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％额定电压情况下电机任何部分的温升都不超过允许范围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1025"/>
        </w:trPr>
        <w:tc>
          <w:tcPr>
            <w:tcW w:w="568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电动执行机构防护等级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外壳防护等级：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IP68</w:t>
            </w:r>
          </w:p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提供</w:t>
            </w:r>
            <w:r w:rsidRPr="007A225E">
              <w:rPr>
                <w:rFonts w:hAnsi="宋体"/>
                <w:bCs/>
                <w:sz w:val="18"/>
                <w:szCs w:val="18"/>
              </w:rPr>
              <w:t>防护等级相关证明文件</w:t>
            </w:r>
          </w:p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执行</w:t>
            </w:r>
            <w:r w:rsidRPr="007A225E">
              <w:rPr>
                <w:rFonts w:hAnsi="宋体"/>
                <w:bCs/>
                <w:sz w:val="18"/>
                <w:szCs w:val="18"/>
              </w:rPr>
              <w:t>机构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接线工作由</w:t>
            </w:r>
            <w:r w:rsidRPr="007A225E">
              <w:rPr>
                <w:rFonts w:hAnsi="宋体"/>
                <w:bCs/>
                <w:sz w:val="18"/>
                <w:szCs w:val="18"/>
              </w:rPr>
              <w:t>设备供货商现场实施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1025"/>
        </w:trPr>
        <w:tc>
          <w:tcPr>
            <w:tcW w:w="568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力矩保护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电动执行机构有力矩保护功能，其力矩，推力在名义值的基础上有不小于</w:t>
            </w:r>
            <w:r w:rsidRPr="007A225E">
              <w:rPr>
                <w:rFonts w:hAnsi="宋体"/>
                <w:bCs/>
                <w:sz w:val="18"/>
                <w:szCs w:val="18"/>
              </w:rPr>
              <w:t xml:space="preserve"> </w:t>
            </w:r>
            <w:r w:rsidRPr="007A225E">
              <w:rPr>
                <w:rFonts w:hAnsi="宋体"/>
                <w:bCs/>
                <w:sz w:val="18"/>
                <w:szCs w:val="18"/>
              </w:rPr>
              <w:t></w:t>
            </w:r>
            <w:r w:rsidRPr="007A225E">
              <w:rPr>
                <w:rFonts w:hAnsi="宋体"/>
                <w:bCs/>
                <w:sz w:val="18"/>
                <w:szCs w:val="18"/>
              </w:rPr>
              <w:t xml:space="preserve"> 20%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的可调裕度。行程有</w:t>
            </w:r>
            <w:r w:rsidRPr="007A225E">
              <w:rPr>
                <w:rFonts w:hAnsi="宋体"/>
                <w:bCs/>
                <w:sz w:val="18"/>
                <w:szCs w:val="18"/>
              </w:rPr>
              <w:t>10%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的可调裕度。行程时间亦可调整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1025"/>
        </w:trPr>
        <w:tc>
          <w:tcPr>
            <w:tcW w:w="568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E42D36" w:rsidRPr="007A225E" w:rsidRDefault="00E42D36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电动执行机构外观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外层为防腐渗铁云母层或粉末喷涂，外壳的防腐等级为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C5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或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PCS series 4;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面板和铭牌光滑平整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767"/>
        </w:trPr>
        <w:tc>
          <w:tcPr>
            <w:tcW w:w="568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远程控制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执行机构应具有远程控制功能，</w:t>
            </w:r>
            <w:r w:rsidRPr="007A225E">
              <w:rPr>
                <w:rFonts w:hAnsi="宋体"/>
                <w:bCs/>
                <w:sz w:val="18"/>
                <w:szCs w:val="18"/>
              </w:rPr>
              <w:t>本设备应能接入</w:t>
            </w:r>
            <w:r w:rsidRPr="007A225E">
              <w:rPr>
                <w:rFonts w:hAnsi="宋体"/>
                <w:bCs/>
                <w:sz w:val="18"/>
                <w:szCs w:val="18"/>
              </w:rPr>
              <w:t>ESD</w:t>
            </w:r>
            <w:r w:rsidRPr="007A225E">
              <w:rPr>
                <w:rFonts w:hAnsi="宋体"/>
                <w:bCs/>
                <w:sz w:val="18"/>
                <w:szCs w:val="18"/>
              </w:rPr>
              <w:t>紧急刹车信号，独立设置接入点，站场 </w:t>
            </w:r>
            <w:r w:rsidRPr="007A225E">
              <w:rPr>
                <w:rFonts w:hAnsi="宋体"/>
                <w:bCs/>
                <w:sz w:val="18"/>
                <w:szCs w:val="18"/>
              </w:rPr>
              <w:t>ESD</w:t>
            </w:r>
            <w:r w:rsidRPr="007A225E">
              <w:rPr>
                <w:rFonts w:hAnsi="宋体"/>
                <w:bCs/>
                <w:sz w:val="18"/>
                <w:szCs w:val="18"/>
              </w:rPr>
              <w:t> 控制功能优先级超越站场过程控制，且不受站场控制模式限制。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724"/>
        </w:trPr>
        <w:tc>
          <w:tcPr>
            <w:tcW w:w="568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就地手动操作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执行机构应具有就地手动操作功能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1025"/>
        </w:trPr>
        <w:tc>
          <w:tcPr>
            <w:tcW w:w="568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jc w:val="left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SCADA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应与业主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SCADA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实现可靠通讯。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1025"/>
        </w:trPr>
        <w:tc>
          <w:tcPr>
            <w:tcW w:w="568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E42D36" w:rsidRPr="007A225E" w:rsidRDefault="003E3FC1">
            <w:pPr>
              <w:ind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阀位就地指示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电动执行机构具有阀位就地指示器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E42D36" w:rsidRPr="007A225E">
        <w:trPr>
          <w:trHeight w:val="1025"/>
        </w:trPr>
        <w:tc>
          <w:tcPr>
            <w:tcW w:w="568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E42D36" w:rsidRPr="007A225E" w:rsidRDefault="003E3FC1">
            <w:pPr>
              <w:jc w:val="center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/>
                <w:bCs/>
                <w:sz w:val="18"/>
                <w:szCs w:val="18"/>
              </w:rPr>
              <w:t>#</w:t>
            </w:r>
          </w:p>
        </w:tc>
        <w:tc>
          <w:tcPr>
            <w:tcW w:w="155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开、关限位</w:t>
            </w:r>
          </w:p>
        </w:tc>
        <w:tc>
          <w:tcPr>
            <w:tcW w:w="2551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电动执行机构开、关限位开关可靠准确，保证无过开过关现象，开关无空程</w:t>
            </w:r>
          </w:p>
        </w:tc>
        <w:tc>
          <w:tcPr>
            <w:tcW w:w="993" w:type="dxa"/>
          </w:tcPr>
          <w:p w:rsidR="00E42D36" w:rsidRPr="007A225E" w:rsidRDefault="00E42D36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E42D36" w:rsidRPr="007A225E" w:rsidRDefault="003E3FC1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  <w:tr w:rsidR="005F28EC" w:rsidRPr="007A225E">
        <w:trPr>
          <w:trHeight w:val="1025"/>
        </w:trPr>
        <w:tc>
          <w:tcPr>
            <w:tcW w:w="568" w:type="dxa"/>
          </w:tcPr>
          <w:p w:rsidR="005F28EC" w:rsidRPr="007A225E" w:rsidRDefault="005F28EC" w:rsidP="005F28EC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</w:p>
          <w:p w:rsidR="005F28EC" w:rsidRPr="007A225E" w:rsidRDefault="005F28EC" w:rsidP="005F28EC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5F28EC" w:rsidRPr="007A225E" w:rsidRDefault="005F28EC">
            <w:pPr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5F28EC" w:rsidRPr="007A225E" w:rsidRDefault="005F28EC">
            <w:pPr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执行机构操作速度</w:t>
            </w:r>
          </w:p>
        </w:tc>
        <w:tc>
          <w:tcPr>
            <w:tcW w:w="2551" w:type="dxa"/>
          </w:tcPr>
          <w:p w:rsidR="005F28EC" w:rsidRPr="007A225E" w:rsidRDefault="005F28EC" w:rsidP="005F28EC">
            <w:pPr>
              <w:ind w:firstLine="0"/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电动执行机构操作速度必须按照阀门的结构特性来选择，阀门关闭时间不超过每英寸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 xml:space="preserve">5 </w:t>
            </w:r>
            <w:r w:rsidRPr="007A225E">
              <w:rPr>
                <w:rFonts w:hAnsi="宋体" w:hint="eastAsia"/>
                <w:bCs/>
                <w:sz w:val="18"/>
                <w:szCs w:val="18"/>
              </w:rPr>
              <w:t>秒时间。</w:t>
            </w:r>
          </w:p>
        </w:tc>
        <w:tc>
          <w:tcPr>
            <w:tcW w:w="993" w:type="dxa"/>
          </w:tcPr>
          <w:p w:rsidR="005F28EC" w:rsidRPr="007A225E" w:rsidRDefault="005F28EC">
            <w:pPr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139" w:type="dxa"/>
          </w:tcPr>
          <w:p w:rsidR="005F28EC" w:rsidRPr="007A225E" w:rsidRDefault="005F28EC">
            <w:pPr>
              <w:rPr>
                <w:rFonts w:hAnsi="宋体"/>
                <w:bCs/>
                <w:sz w:val="18"/>
                <w:szCs w:val="18"/>
              </w:rPr>
            </w:pPr>
            <w:r w:rsidRPr="007A225E">
              <w:rPr>
                <w:rFonts w:hAnsi="宋体" w:hint="eastAsia"/>
                <w:bCs/>
                <w:sz w:val="18"/>
                <w:szCs w:val="18"/>
              </w:rPr>
              <w:t>技术文件偏差表及投标文件</w:t>
            </w:r>
          </w:p>
        </w:tc>
      </w:tr>
    </w:tbl>
    <w:p w:rsidR="00E42D36" w:rsidRPr="007A225E" w:rsidRDefault="00E42D36">
      <w:pPr>
        <w:ind w:firstLine="480"/>
        <w:rPr>
          <w:rFonts w:hAnsi="宋体"/>
          <w:bCs/>
          <w:szCs w:val="24"/>
        </w:rPr>
      </w:pPr>
    </w:p>
    <w:p w:rsidR="00E42D36" w:rsidRPr="007A225E" w:rsidRDefault="00E42D36" w:rsidP="005F28EC">
      <w:pPr>
        <w:rPr>
          <w:rFonts w:hAnsi="宋体"/>
          <w:bCs/>
          <w:szCs w:val="24"/>
        </w:rPr>
      </w:pPr>
    </w:p>
    <w:p w:rsidR="005F28EC" w:rsidRPr="007A225E" w:rsidRDefault="005F28EC" w:rsidP="005F28EC">
      <w:pPr>
        <w:sectPr w:rsidR="005F28EC" w:rsidRPr="007A225E" w:rsidSect="00E42D3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42D36" w:rsidRPr="007A225E" w:rsidRDefault="005F28EC" w:rsidP="005F28EC">
      <w:pPr>
        <w:rPr>
          <w:sz w:val="28"/>
          <w:szCs w:val="28"/>
        </w:rPr>
      </w:pPr>
      <w:r w:rsidRPr="007A225E">
        <w:rPr>
          <w:rFonts w:hint="eastAsia"/>
          <w:sz w:val="28"/>
          <w:szCs w:val="28"/>
        </w:rPr>
        <w:lastRenderedPageBreak/>
        <w:t>附表</w:t>
      </w:r>
    </w:p>
    <w:tbl>
      <w:tblPr>
        <w:tblStyle w:val="a5"/>
        <w:tblW w:w="5000" w:type="pct"/>
        <w:tblLook w:val="04A0"/>
      </w:tblPr>
      <w:tblGrid>
        <w:gridCol w:w="960"/>
        <w:gridCol w:w="2451"/>
        <w:gridCol w:w="1704"/>
        <w:gridCol w:w="2081"/>
        <w:gridCol w:w="1326"/>
      </w:tblGrid>
      <w:tr w:rsidR="005F28EC" w:rsidRPr="007A225E" w:rsidTr="005F28EC">
        <w:tc>
          <w:tcPr>
            <w:tcW w:w="563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3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阀门规格</w:t>
            </w:r>
          </w:p>
        </w:tc>
        <w:tc>
          <w:tcPr>
            <w:tcW w:w="1000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数量（个）</w:t>
            </w:r>
          </w:p>
        </w:tc>
        <w:tc>
          <w:tcPr>
            <w:tcW w:w="1221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接管规格（</w:t>
            </w:r>
            <w:r w:rsidRPr="007A225E">
              <w:rPr>
                <w:rFonts w:hint="eastAsia"/>
                <w:sz w:val="24"/>
                <w:szCs w:val="24"/>
              </w:rPr>
              <w:t>mm</w:t>
            </w:r>
            <w:r w:rsidRPr="007A225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7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F28EC" w:rsidRPr="007A225E" w:rsidTr="005F28EC">
        <w:tc>
          <w:tcPr>
            <w:tcW w:w="563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3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PN25  DN600</w:t>
            </w:r>
          </w:p>
        </w:tc>
        <w:tc>
          <w:tcPr>
            <w:tcW w:w="1000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21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7A225E">
              <w:rPr>
                <w:rFonts w:ascii="Cambria Math" w:hAnsi="Cambria Math" w:cs="Cambria Math" w:hint="eastAsia"/>
                <w:sz w:val="24"/>
                <w:szCs w:val="24"/>
              </w:rPr>
              <w:t>610x9.5</w:t>
            </w:r>
          </w:p>
        </w:tc>
        <w:tc>
          <w:tcPr>
            <w:tcW w:w="77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28EC" w:rsidRPr="007A225E" w:rsidTr="005F28EC">
        <w:tc>
          <w:tcPr>
            <w:tcW w:w="563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3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PN25  DN400</w:t>
            </w:r>
          </w:p>
        </w:tc>
        <w:tc>
          <w:tcPr>
            <w:tcW w:w="1000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21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7A225E">
              <w:rPr>
                <w:rFonts w:ascii="Cambria Math" w:hAnsi="Cambria Math" w:cs="Cambria Math" w:hint="eastAsia"/>
                <w:sz w:val="24"/>
                <w:szCs w:val="24"/>
              </w:rPr>
              <w:t>406.4x9.5</w:t>
            </w:r>
          </w:p>
        </w:tc>
        <w:tc>
          <w:tcPr>
            <w:tcW w:w="77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28EC" w:rsidRPr="007A225E" w:rsidTr="005F28EC">
        <w:tc>
          <w:tcPr>
            <w:tcW w:w="563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3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PN25  DN200</w:t>
            </w:r>
          </w:p>
        </w:tc>
        <w:tc>
          <w:tcPr>
            <w:tcW w:w="1000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21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7A225E">
              <w:rPr>
                <w:rFonts w:ascii="Cambria Math" w:hAnsi="Cambria Math" w:cs="Cambria Math" w:hint="eastAsia"/>
                <w:sz w:val="24"/>
                <w:szCs w:val="24"/>
              </w:rPr>
              <w:t>219x6</w:t>
            </w:r>
          </w:p>
        </w:tc>
        <w:tc>
          <w:tcPr>
            <w:tcW w:w="77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28EC" w:rsidRPr="007A225E" w:rsidTr="005F28EC">
        <w:tc>
          <w:tcPr>
            <w:tcW w:w="563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3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PN16  DN400</w:t>
            </w:r>
          </w:p>
        </w:tc>
        <w:tc>
          <w:tcPr>
            <w:tcW w:w="1000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21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7A225E">
              <w:rPr>
                <w:rFonts w:ascii="Cambria Math" w:hAnsi="Cambria Math" w:cs="Cambria Math" w:hint="eastAsia"/>
                <w:sz w:val="24"/>
                <w:szCs w:val="24"/>
              </w:rPr>
              <w:t>406.4x9.5</w:t>
            </w:r>
          </w:p>
        </w:tc>
        <w:tc>
          <w:tcPr>
            <w:tcW w:w="77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28EC" w:rsidRPr="007A225E" w:rsidTr="005F28EC">
        <w:tc>
          <w:tcPr>
            <w:tcW w:w="563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3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PN16  DN300</w:t>
            </w:r>
          </w:p>
        </w:tc>
        <w:tc>
          <w:tcPr>
            <w:tcW w:w="1000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21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7A225E">
              <w:rPr>
                <w:rFonts w:ascii="Cambria Math" w:hAnsi="Cambria Math" w:cs="Cambria Math" w:hint="eastAsia"/>
                <w:sz w:val="24"/>
                <w:szCs w:val="24"/>
              </w:rPr>
              <w:t>323.9x8</w:t>
            </w:r>
          </w:p>
        </w:tc>
        <w:tc>
          <w:tcPr>
            <w:tcW w:w="77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28EC" w:rsidRPr="007A225E" w:rsidTr="005F28EC">
        <w:tc>
          <w:tcPr>
            <w:tcW w:w="563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3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PN16  DN200</w:t>
            </w:r>
          </w:p>
        </w:tc>
        <w:tc>
          <w:tcPr>
            <w:tcW w:w="1000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21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7A225E">
              <w:rPr>
                <w:rFonts w:ascii="Cambria Math" w:hAnsi="Cambria Math" w:cs="Cambria Math" w:hint="eastAsia"/>
                <w:sz w:val="24"/>
                <w:szCs w:val="24"/>
              </w:rPr>
              <w:t>219x6</w:t>
            </w:r>
          </w:p>
        </w:tc>
        <w:tc>
          <w:tcPr>
            <w:tcW w:w="778" w:type="pct"/>
            <w:vAlign w:val="center"/>
          </w:tcPr>
          <w:p w:rsidR="005F28EC" w:rsidRPr="007A225E" w:rsidRDefault="005F28EC" w:rsidP="005F28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4734" w:rsidRPr="007A225E" w:rsidTr="005F28EC">
        <w:tc>
          <w:tcPr>
            <w:tcW w:w="563" w:type="pct"/>
            <w:vAlign w:val="center"/>
          </w:tcPr>
          <w:p w:rsidR="00674734" w:rsidRPr="007A225E" w:rsidRDefault="00674734" w:rsidP="00F92599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38" w:type="pct"/>
            <w:vAlign w:val="center"/>
          </w:tcPr>
          <w:p w:rsidR="00674734" w:rsidRPr="007A225E" w:rsidRDefault="00674734" w:rsidP="00F92599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000" w:type="pct"/>
            <w:vAlign w:val="center"/>
          </w:tcPr>
          <w:p w:rsidR="00674734" w:rsidRPr="007A225E" w:rsidRDefault="00674734" w:rsidP="00F92599">
            <w:pPr>
              <w:ind w:firstLine="0"/>
              <w:jc w:val="center"/>
              <w:rPr>
                <w:sz w:val="24"/>
                <w:szCs w:val="24"/>
              </w:rPr>
            </w:pPr>
            <w:r w:rsidRPr="007A225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221" w:type="pct"/>
            <w:vAlign w:val="center"/>
          </w:tcPr>
          <w:p w:rsidR="00674734" w:rsidRPr="007A225E" w:rsidRDefault="00674734" w:rsidP="00F9259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674734" w:rsidRPr="007A225E" w:rsidRDefault="00674734" w:rsidP="005F28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8EC" w:rsidRPr="007A225E" w:rsidRDefault="00674734">
      <w:pPr>
        <w:rPr>
          <w:sz w:val="28"/>
          <w:szCs w:val="28"/>
        </w:rPr>
      </w:pPr>
      <w:r w:rsidRPr="007A225E">
        <w:rPr>
          <w:rFonts w:hint="eastAsia"/>
          <w:sz w:val="28"/>
          <w:szCs w:val="28"/>
        </w:rPr>
        <w:t>注：要求带防入侵远传井盖</w:t>
      </w:r>
      <w:r w:rsidR="0058767D" w:rsidRPr="007A225E">
        <w:rPr>
          <w:rFonts w:hint="eastAsia"/>
          <w:sz w:val="28"/>
          <w:szCs w:val="28"/>
        </w:rPr>
        <w:t>,</w:t>
      </w:r>
      <w:r w:rsidR="0058767D" w:rsidRPr="007A225E">
        <w:rPr>
          <w:rFonts w:hint="eastAsia"/>
          <w:sz w:val="28"/>
          <w:szCs w:val="28"/>
        </w:rPr>
        <w:t>带双放散</w:t>
      </w:r>
    </w:p>
    <w:sectPr w:rsidR="005F28EC" w:rsidRPr="007A225E" w:rsidSect="00E42D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7E4" w:rsidRDefault="007817E4" w:rsidP="00BB5349">
      <w:r>
        <w:separator/>
      </w:r>
    </w:p>
  </w:endnote>
  <w:endnote w:type="continuationSeparator" w:id="0">
    <w:p w:rsidR="007817E4" w:rsidRDefault="007817E4" w:rsidP="00BB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7E4" w:rsidRDefault="007817E4" w:rsidP="00BB5349">
      <w:r>
        <w:separator/>
      </w:r>
    </w:p>
  </w:footnote>
  <w:footnote w:type="continuationSeparator" w:id="0">
    <w:p w:rsidR="007817E4" w:rsidRDefault="007817E4" w:rsidP="00BB5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5OWJmZDhjN2NmNTYyYWZjYjE1MTFiZTE2YWViOTMifQ=="/>
  </w:docVars>
  <w:rsids>
    <w:rsidRoot w:val="0097000C"/>
    <w:rsid w:val="000F51F4"/>
    <w:rsid w:val="002D5F08"/>
    <w:rsid w:val="003E3FC1"/>
    <w:rsid w:val="004E5145"/>
    <w:rsid w:val="0058767D"/>
    <w:rsid w:val="00596CBE"/>
    <w:rsid w:val="005F28EC"/>
    <w:rsid w:val="00600DF2"/>
    <w:rsid w:val="00674734"/>
    <w:rsid w:val="007521AD"/>
    <w:rsid w:val="00774F9B"/>
    <w:rsid w:val="007817E4"/>
    <w:rsid w:val="007A225E"/>
    <w:rsid w:val="0097000C"/>
    <w:rsid w:val="00A22D78"/>
    <w:rsid w:val="00A56431"/>
    <w:rsid w:val="00AC7B04"/>
    <w:rsid w:val="00AE6189"/>
    <w:rsid w:val="00B134A3"/>
    <w:rsid w:val="00BB5349"/>
    <w:rsid w:val="00DD3363"/>
    <w:rsid w:val="00E42D36"/>
    <w:rsid w:val="00E55831"/>
    <w:rsid w:val="00EE2FE1"/>
    <w:rsid w:val="00EF0890"/>
    <w:rsid w:val="00F2548B"/>
    <w:rsid w:val="00F92599"/>
    <w:rsid w:val="77D0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3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E42D36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4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E42D36"/>
    <w:pPr>
      <w:ind w:firstLine="4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42D36"/>
    <w:rPr>
      <w:rFonts w:ascii="Arial" w:eastAsia="黑体" w:hAnsi="Arial" w:cs="Times New Roman"/>
      <w:b/>
      <w:sz w:val="32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E42D36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42D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390</Words>
  <Characters>2225</Characters>
  <Application>Microsoft Office Word</Application>
  <DocSecurity>0</DocSecurity>
  <Lines>18</Lines>
  <Paragraphs>5</Paragraphs>
  <ScaleCrop>false</ScaleCrop>
  <Company>Win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柴飞</cp:lastModifiedBy>
  <cp:revision>12</cp:revision>
  <cp:lastPrinted>2022-07-15T02:54:00Z</cp:lastPrinted>
  <dcterms:created xsi:type="dcterms:W3CDTF">2021-11-18T11:09:00Z</dcterms:created>
  <dcterms:modified xsi:type="dcterms:W3CDTF">2022-07-15T02:54:00Z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410DA840A776477FA3E6275C8424C24B</vt:lpwstr>
  </property>
</Properties>
</file>