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A9B4" w14:textId="77777777" w:rsidR="00376225" w:rsidRDefault="00376225">
      <w:pPr>
        <w:jc w:val="center"/>
        <w:rPr>
          <w:rFonts w:ascii="方正小标宋_GBK" w:eastAsia="方正小标宋_GBK" w:hAnsi="方正小标宋_GBK" w:cs="方正小标宋_GBK"/>
          <w:sz w:val="44"/>
          <w:szCs w:val="44"/>
        </w:rPr>
      </w:pPr>
    </w:p>
    <w:p w14:paraId="624B42A5" w14:textId="77777777" w:rsidR="00376225" w:rsidRDefault="00376225">
      <w:pPr>
        <w:jc w:val="center"/>
        <w:rPr>
          <w:rFonts w:ascii="方正小标宋_GBK" w:eastAsia="方正小标宋_GBK" w:hAnsi="方正小标宋_GBK" w:cs="方正小标宋_GBK"/>
          <w:sz w:val="44"/>
          <w:szCs w:val="44"/>
        </w:rPr>
      </w:pPr>
    </w:p>
    <w:p w14:paraId="7C488F20" w14:textId="77777777" w:rsidR="00376225" w:rsidRPr="00254D06" w:rsidRDefault="00254D06">
      <w:pPr>
        <w:spacing w:line="600" w:lineRule="exact"/>
        <w:jc w:val="center"/>
        <w:rPr>
          <w:rFonts w:ascii="方正小标宋_GBK" w:eastAsia="方正小标宋_GBK" w:hAnsi="方正小标宋_GBK" w:cs="方正小标宋_GBK"/>
          <w:sz w:val="48"/>
          <w:szCs w:val="48"/>
        </w:rPr>
      </w:pPr>
      <w:r w:rsidRPr="00254D06">
        <w:rPr>
          <w:rFonts w:ascii="方正小标宋_GBK" w:eastAsia="方正小标宋_GBK" w:hAnsi="方正小标宋_GBK" w:cs="方正小标宋_GBK" w:hint="eastAsia"/>
          <w:sz w:val="48"/>
          <w:szCs w:val="48"/>
        </w:rPr>
        <w:t>陕西燃气集团有限公司</w:t>
      </w:r>
      <w:r w:rsidRPr="00254D06">
        <w:rPr>
          <w:rFonts w:ascii="方正小标宋_GBK" w:eastAsia="方正小标宋_GBK" w:hAnsi="方正小标宋_GBK" w:cs="方正小标宋_GBK" w:hint="eastAsia"/>
          <w:sz w:val="48"/>
          <w:szCs w:val="48"/>
        </w:rPr>
        <w:br/>
        <w:t>2023年度“揭榜挂帅”项目任务书</w:t>
      </w:r>
    </w:p>
    <w:p w14:paraId="06A7C101" w14:textId="77777777" w:rsidR="00376225" w:rsidRPr="00254D06" w:rsidRDefault="00376225">
      <w:pPr>
        <w:jc w:val="center"/>
        <w:rPr>
          <w:rFonts w:ascii="方正小标宋_GBK" w:eastAsia="方正小标宋_GBK" w:hAnsi="方正小标宋_GBK" w:cs="方正小标宋_GBK"/>
          <w:sz w:val="44"/>
          <w:szCs w:val="44"/>
        </w:rPr>
      </w:pPr>
    </w:p>
    <w:p w14:paraId="6CA3F8EF" w14:textId="77777777" w:rsidR="00376225" w:rsidRPr="00254D06" w:rsidRDefault="00376225">
      <w:pPr>
        <w:jc w:val="center"/>
        <w:rPr>
          <w:rFonts w:ascii="方正小标宋_GBK" w:eastAsia="方正小标宋_GBK" w:hAnsi="方正小标宋_GBK" w:cs="方正小标宋_GBK"/>
          <w:sz w:val="44"/>
          <w:szCs w:val="44"/>
        </w:rPr>
      </w:pPr>
    </w:p>
    <w:p w14:paraId="6991E427" w14:textId="77777777" w:rsidR="00376225" w:rsidRPr="00254D06" w:rsidRDefault="00254D06">
      <w:pPr>
        <w:spacing w:line="720" w:lineRule="auto"/>
        <w:ind w:firstLineChars="100" w:firstLine="304"/>
        <w:rPr>
          <w:rFonts w:ascii="仿宋_GB2312" w:eastAsia="仿宋_GB2312"/>
          <w:color w:val="000000"/>
          <w:spacing w:val="-8"/>
          <w:sz w:val="32"/>
        </w:rPr>
      </w:pPr>
      <w:r w:rsidRPr="00254D06">
        <w:rPr>
          <w:rFonts w:ascii="仿宋_GB2312" w:eastAsia="仿宋_GB2312" w:hint="eastAsia"/>
          <w:color w:val="000000"/>
          <w:spacing w:val="-8"/>
          <w:sz w:val="32"/>
        </w:rPr>
        <w:t>项 目 名 称：</w:t>
      </w:r>
      <w:r w:rsidRPr="00254D06">
        <w:rPr>
          <w:rFonts w:ascii="仿宋_GB2312" w:eastAsia="仿宋_GB2312" w:hint="eastAsia"/>
          <w:color w:val="000000"/>
          <w:spacing w:val="-8"/>
          <w:sz w:val="32"/>
          <w:u w:val="single"/>
        </w:rPr>
        <w:t xml:space="preserve"> </w:t>
      </w:r>
      <w:r w:rsidRPr="00254D06">
        <w:rPr>
          <w:rFonts w:ascii="仿宋_GB2312" w:eastAsia="仿宋_GB2312"/>
          <w:color w:val="000000"/>
          <w:spacing w:val="-8"/>
          <w:sz w:val="32"/>
          <w:u w:val="single"/>
        </w:rPr>
        <w:t xml:space="preserve"> </w:t>
      </w:r>
      <w:r w:rsidRPr="00254D06">
        <w:rPr>
          <w:rFonts w:ascii="仿宋_GB2312" w:eastAsia="仿宋_GB2312" w:hint="eastAsia"/>
          <w:color w:val="000000"/>
          <w:spacing w:val="-8"/>
          <w:sz w:val="32"/>
          <w:u w:val="single"/>
        </w:rPr>
        <w:t xml:space="preserve"> 生物质水相重整催化制甲烷技术研究</w:t>
      </w:r>
      <w:r w:rsidRPr="00254D06">
        <w:rPr>
          <w:rFonts w:ascii="仿宋_GB2312" w:eastAsia="仿宋_GB2312"/>
          <w:color w:val="000000"/>
          <w:spacing w:val="-8"/>
          <w:sz w:val="32"/>
          <w:u w:val="single"/>
        </w:rPr>
        <w:t xml:space="preserve">   </w:t>
      </w:r>
    </w:p>
    <w:p w14:paraId="1CEAABC6" w14:textId="77777777" w:rsidR="00376225" w:rsidRPr="00254D06" w:rsidRDefault="00254D06">
      <w:pPr>
        <w:spacing w:line="720" w:lineRule="auto"/>
        <w:ind w:firstLineChars="100" w:firstLine="304"/>
        <w:rPr>
          <w:rFonts w:ascii="仿宋_GB2312" w:eastAsia="仿宋_GB2312"/>
          <w:color w:val="000000"/>
          <w:sz w:val="32"/>
        </w:rPr>
      </w:pPr>
      <w:r w:rsidRPr="00254D06">
        <w:rPr>
          <w:rFonts w:ascii="仿宋_GB2312" w:eastAsia="仿宋_GB2312" w:hint="eastAsia"/>
          <w:color w:val="000000"/>
          <w:spacing w:val="-8"/>
          <w:sz w:val="32"/>
        </w:rPr>
        <w:t>提 出 单 位：</w:t>
      </w:r>
      <w:r w:rsidRPr="00254D06">
        <w:rPr>
          <w:rFonts w:ascii="仿宋_GB2312" w:eastAsia="仿宋_GB2312" w:hint="eastAsia"/>
          <w:color w:val="000000"/>
          <w:sz w:val="32"/>
          <w:u w:val="single"/>
        </w:rPr>
        <w:t xml:space="preserve"> 陕西燃气集团新能源发展股份有限公司 </w:t>
      </w:r>
    </w:p>
    <w:p w14:paraId="71CC8B37" w14:textId="77777777" w:rsidR="00376225" w:rsidRPr="00254D06" w:rsidRDefault="00254D06">
      <w:pPr>
        <w:spacing w:line="720" w:lineRule="auto"/>
        <w:ind w:leftChars="171" w:left="359"/>
        <w:rPr>
          <w:rFonts w:ascii="仿宋_GB2312" w:eastAsia="仿宋_GB2312"/>
          <w:color w:val="000000"/>
          <w:sz w:val="32"/>
        </w:rPr>
      </w:pPr>
      <w:r w:rsidRPr="00254D06">
        <w:rPr>
          <w:rFonts w:ascii="仿宋_GB2312" w:eastAsia="仿宋_GB2312" w:hint="eastAsia"/>
          <w:color w:val="000000"/>
          <w:spacing w:val="-8"/>
          <w:sz w:val="32"/>
        </w:rPr>
        <w:t>时 限 要 求：</w:t>
      </w:r>
      <w:r w:rsidRPr="00254D06">
        <w:rPr>
          <w:rFonts w:ascii="仿宋_GB2312" w:eastAsia="仿宋_GB2312" w:hint="eastAsia"/>
          <w:color w:val="000000"/>
          <w:spacing w:val="-8"/>
          <w:sz w:val="32"/>
          <w:u w:val="single"/>
        </w:rPr>
        <w:t xml:space="preserve">         </w:t>
      </w:r>
      <w:r w:rsidRPr="00254D06">
        <w:rPr>
          <w:rFonts w:ascii="仿宋_GB2312" w:eastAsia="仿宋_GB2312" w:hint="eastAsia"/>
          <w:color w:val="000000"/>
          <w:sz w:val="32"/>
          <w:u w:val="single"/>
        </w:rPr>
        <w:t xml:space="preserve">2025年12月前完成          </w:t>
      </w:r>
    </w:p>
    <w:p w14:paraId="4F05B756" w14:textId="77777777" w:rsidR="00376225" w:rsidRPr="00254D06" w:rsidRDefault="00254D06">
      <w:pPr>
        <w:spacing w:line="720" w:lineRule="auto"/>
        <w:ind w:leftChars="171" w:left="359"/>
        <w:rPr>
          <w:rFonts w:ascii="仿宋_GB2312" w:eastAsia="仿宋_GB2312"/>
          <w:color w:val="000000"/>
          <w:sz w:val="28"/>
          <w:szCs w:val="28"/>
          <w:u w:val="single"/>
        </w:rPr>
      </w:pPr>
      <w:r w:rsidRPr="00254D06">
        <w:rPr>
          <w:rFonts w:ascii="仿宋_GB2312" w:eastAsia="仿宋_GB2312" w:hint="eastAsia"/>
          <w:color w:val="000000"/>
          <w:spacing w:val="-8"/>
          <w:sz w:val="32"/>
        </w:rPr>
        <w:t>项目联系人</w:t>
      </w:r>
      <w:r w:rsidRPr="00254D06">
        <w:rPr>
          <w:rFonts w:ascii="仿宋_GB2312" w:eastAsia="仿宋_GB2312" w:hint="eastAsia"/>
          <w:color w:val="000000"/>
          <w:sz w:val="32"/>
          <w:u w:val="single"/>
        </w:rPr>
        <w:t xml:space="preserve">  </w:t>
      </w:r>
      <w:r w:rsidRPr="00254D06">
        <w:rPr>
          <w:rFonts w:ascii="仿宋_GB2312" w:eastAsia="仿宋_GB2312" w:hint="eastAsia"/>
          <w:color w:val="000000"/>
          <w:sz w:val="28"/>
          <w:szCs w:val="28"/>
          <w:u w:val="single"/>
        </w:rPr>
        <w:t xml:space="preserve"> </w:t>
      </w:r>
      <w:r w:rsidRPr="00254D06">
        <w:rPr>
          <w:rFonts w:ascii="仿宋_GB2312" w:eastAsia="仿宋_GB2312"/>
          <w:color w:val="000000"/>
          <w:sz w:val="28"/>
          <w:szCs w:val="28"/>
          <w:u w:val="single"/>
        </w:rPr>
        <w:t xml:space="preserve"> </w:t>
      </w:r>
      <w:r w:rsidRPr="00254D06">
        <w:rPr>
          <w:rFonts w:ascii="仿宋_GB2312" w:eastAsia="仿宋_GB2312" w:hint="eastAsia"/>
          <w:color w:val="000000"/>
          <w:spacing w:val="-8"/>
          <w:sz w:val="32"/>
          <w:u w:val="single"/>
        </w:rPr>
        <w:t>张坤</w:t>
      </w:r>
      <w:r w:rsidRPr="00254D06">
        <w:rPr>
          <w:rFonts w:ascii="仿宋_GB2312" w:eastAsia="仿宋_GB2312" w:hint="eastAsia"/>
          <w:color w:val="000000"/>
          <w:sz w:val="28"/>
          <w:szCs w:val="28"/>
          <w:u w:val="single"/>
        </w:rPr>
        <w:t xml:space="preserve"> </w:t>
      </w:r>
      <w:r w:rsidRPr="00254D06">
        <w:rPr>
          <w:rFonts w:ascii="仿宋_GB2312" w:eastAsia="仿宋_GB2312"/>
          <w:color w:val="000000"/>
          <w:sz w:val="28"/>
          <w:szCs w:val="28"/>
          <w:u w:val="single"/>
        </w:rPr>
        <w:t xml:space="preserve"> </w:t>
      </w:r>
      <w:r w:rsidRPr="00254D06">
        <w:rPr>
          <w:rFonts w:ascii="仿宋_GB2312" w:eastAsia="仿宋_GB2312" w:hint="eastAsia"/>
          <w:color w:val="000000"/>
          <w:sz w:val="28"/>
          <w:szCs w:val="28"/>
          <w:u w:val="single"/>
        </w:rPr>
        <w:t xml:space="preserve">  </w:t>
      </w:r>
      <w:r w:rsidRPr="00254D06">
        <w:rPr>
          <w:rFonts w:ascii="仿宋_GB2312" w:eastAsia="仿宋_GB2312"/>
          <w:color w:val="000000"/>
          <w:sz w:val="28"/>
          <w:szCs w:val="28"/>
        </w:rPr>
        <w:t xml:space="preserve"> </w:t>
      </w:r>
      <w:r w:rsidRPr="00254D06">
        <w:rPr>
          <w:rFonts w:ascii="仿宋_GB2312" w:eastAsia="仿宋_GB2312" w:hint="eastAsia"/>
          <w:color w:val="000000"/>
          <w:sz w:val="32"/>
        </w:rPr>
        <w:t>联系电话：</w:t>
      </w:r>
      <w:r w:rsidRPr="00254D06">
        <w:rPr>
          <w:rFonts w:ascii="仿宋_GB2312" w:eastAsia="仿宋_GB2312" w:hint="eastAsia"/>
          <w:color w:val="000000"/>
          <w:sz w:val="28"/>
          <w:szCs w:val="28"/>
          <w:u w:val="single"/>
        </w:rPr>
        <w:t xml:space="preserve">   </w:t>
      </w:r>
      <w:r w:rsidRPr="00254D06">
        <w:rPr>
          <w:rFonts w:ascii="仿宋_GB2312" w:eastAsia="仿宋_GB2312" w:hint="eastAsia"/>
          <w:color w:val="000000"/>
          <w:spacing w:val="-8"/>
          <w:sz w:val="32"/>
          <w:u w:val="single"/>
        </w:rPr>
        <w:t>15389285656</w:t>
      </w:r>
      <w:r w:rsidRPr="00254D06">
        <w:rPr>
          <w:rFonts w:ascii="仿宋_GB2312" w:eastAsia="仿宋_GB2312"/>
          <w:color w:val="000000"/>
          <w:sz w:val="28"/>
          <w:szCs w:val="28"/>
          <w:u w:val="single"/>
        </w:rPr>
        <w:t xml:space="preserve">   </w:t>
      </w:r>
    </w:p>
    <w:p w14:paraId="29574FE9" w14:textId="77777777" w:rsidR="00376225" w:rsidRPr="00254D06" w:rsidRDefault="00376225">
      <w:pPr>
        <w:spacing w:line="720" w:lineRule="auto"/>
        <w:ind w:leftChars="171" w:left="359"/>
        <w:rPr>
          <w:rFonts w:ascii="仿宋_GB2312" w:eastAsia="仿宋_GB2312"/>
          <w:color w:val="000000"/>
          <w:sz w:val="32"/>
        </w:rPr>
      </w:pPr>
    </w:p>
    <w:p w14:paraId="15A1662E" w14:textId="77777777" w:rsidR="00376225" w:rsidRPr="00254D06" w:rsidRDefault="00376225">
      <w:pPr>
        <w:jc w:val="center"/>
        <w:rPr>
          <w:rFonts w:ascii="方正小标宋_GBK" w:eastAsia="方正小标宋_GBK" w:hAnsi="方正小标宋_GBK" w:cs="方正小标宋_GBK"/>
          <w:sz w:val="44"/>
          <w:szCs w:val="44"/>
        </w:rPr>
        <w:sectPr w:rsidR="00376225" w:rsidRPr="00254D06">
          <w:footerReference w:type="default" r:id="rId8"/>
          <w:pgSz w:w="11906" w:h="16838"/>
          <w:pgMar w:top="1440" w:right="1800" w:bottom="1440" w:left="1800" w:header="851" w:footer="992" w:gutter="0"/>
          <w:pgNumType w:fmt="numberInDash"/>
          <w:cols w:space="720"/>
          <w:docGrid w:type="lines" w:linePitch="312"/>
        </w:sect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2"/>
      </w:tblGrid>
      <w:tr w:rsidR="00376225" w14:paraId="10134AE5" w14:textId="77777777">
        <w:trPr>
          <w:trHeight w:val="13650"/>
          <w:jc w:val="center"/>
        </w:trPr>
        <w:tc>
          <w:tcPr>
            <w:tcW w:w="9192" w:type="dxa"/>
          </w:tcPr>
          <w:p w14:paraId="6BD99F97" w14:textId="77777777" w:rsidR="00376225" w:rsidRPr="00254D06" w:rsidRDefault="00254D06">
            <w:pPr>
              <w:snapToGrid w:val="0"/>
              <w:spacing w:line="400" w:lineRule="exact"/>
              <w:rPr>
                <w:rFonts w:ascii="黑体" w:eastAsia="黑体" w:hAnsi="宋体"/>
                <w:color w:val="000000"/>
                <w:sz w:val="32"/>
                <w:szCs w:val="32"/>
              </w:rPr>
            </w:pPr>
            <w:r w:rsidRPr="00254D06">
              <w:rPr>
                <w:rFonts w:ascii="黑体" w:eastAsia="黑体" w:hAnsi="宋体" w:hint="eastAsia"/>
                <w:color w:val="000000"/>
                <w:sz w:val="32"/>
                <w:szCs w:val="32"/>
              </w:rPr>
              <w:lastRenderedPageBreak/>
              <w:t>一、项目概况</w:t>
            </w:r>
          </w:p>
          <w:p w14:paraId="16CC5C7E" w14:textId="77777777" w:rsidR="00376225" w:rsidRPr="00254D06" w:rsidRDefault="00254D06">
            <w:pPr>
              <w:spacing w:line="400" w:lineRule="exact"/>
              <w:ind w:firstLineChars="200" w:firstLine="562"/>
              <w:rPr>
                <w:rFonts w:ascii="仿宋_GB2312" w:eastAsia="仿宋_GB2312"/>
                <w:b/>
                <w:bCs/>
                <w:sz w:val="28"/>
                <w:szCs w:val="28"/>
              </w:rPr>
            </w:pPr>
            <w:r w:rsidRPr="00254D06">
              <w:rPr>
                <w:rFonts w:ascii="仿宋_GB2312" w:eastAsia="仿宋_GB2312" w:hint="eastAsia"/>
                <w:b/>
                <w:bCs/>
                <w:sz w:val="28"/>
                <w:szCs w:val="28"/>
              </w:rPr>
              <w:t>1、项目背景</w:t>
            </w:r>
          </w:p>
          <w:p w14:paraId="39051255"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2022年全球能源消费量再创新高，一次能源消费143.66亿吨油当量，同比增长2.2%。全球油气供需紧张，能源贸易格局发生深刻调整。国际油气价格剧烈波动，全球通胀率急剧上升，世界经济恢复进程受阻；欧洲能源危机引发各国对能源安全高度关切，全球在能源安全与低碳转型中寻求平衡发展。国际能源署预计2030年前全球能源需求每年将增长约0.8%，天然气需求在2021年至2030年将增加约5%。能源政策的核心是加快推进能源转型，提升可再生能源占比，提高能源利用效率。</w:t>
            </w:r>
          </w:p>
          <w:p w14:paraId="129D2870"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生物质能</w:t>
            </w:r>
            <w:proofErr w:type="gramStart"/>
            <w:r w:rsidRPr="00254D06">
              <w:rPr>
                <w:rFonts w:ascii="仿宋_GB2312" w:eastAsia="仿宋_GB2312" w:hint="eastAsia"/>
                <w:sz w:val="28"/>
                <w:szCs w:val="28"/>
              </w:rPr>
              <w:t>源项目</w:t>
            </w:r>
            <w:proofErr w:type="gramEnd"/>
            <w:r w:rsidRPr="00254D06">
              <w:rPr>
                <w:rFonts w:ascii="仿宋_GB2312" w:eastAsia="仿宋_GB2312" w:hint="eastAsia"/>
                <w:sz w:val="28"/>
                <w:szCs w:val="28"/>
              </w:rPr>
              <w:t>具有项目分散、项目类型多、涉及的主体多等特点，我国城乡每年产生各类有机废弃物（含农林剩余物、生活垃圾、生活污泥、畜禽粪污、果蔬剩余物和工业有机废渣废液等）约63亿吨，折合标煤约8亿吨。有机废弃物的合理利用可以增加清洁能源的供应，同时可以改善环境，具有减</w:t>
            </w:r>
            <w:proofErr w:type="gramStart"/>
            <w:r w:rsidRPr="00254D06">
              <w:rPr>
                <w:rFonts w:ascii="仿宋_GB2312" w:eastAsia="仿宋_GB2312" w:hint="eastAsia"/>
                <w:sz w:val="28"/>
                <w:szCs w:val="28"/>
              </w:rPr>
              <w:t>污降碳</w:t>
            </w:r>
            <w:proofErr w:type="gramEnd"/>
            <w:r w:rsidRPr="00254D06">
              <w:rPr>
                <w:rFonts w:ascii="仿宋_GB2312" w:eastAsia="仿宋_GB2312" w:hint="eastAsia"/>
                <w:sz w:val="28"/>
                <w:szCs w:val="28"/>
              </w:rPr>
              <w:t>的双重效应。从降低碳排放的角度来说，生物质能源具有负排放的特性，而且多元化的能源特性在能源领域进入深度脱碳阶段生物质能的价值尤为凸显。推进储量丰富和绿色环保的生物质材料资源化利用，是实现“双碳”的有效技术途径，也是我国节能减排和环境保护的重要任务，符合当前环保节能和低碳经济的需求。</w:t>
            </w:r>
          </w:p>
          <w:p w14:paraId="32251732"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随着天然气工业的技术进步，天然气在优化国家能源消费结构中发挥着重要作用。据国家统计局统计，2022年中国天然气产量达到2177.9亿立方米，表观消费量3663亿立方米，国内天然气供不应求，仍需依赖进口。数据显示，中国天然气累计进口金额达到700.19亿美元，累计增长25.7%。随着“碳达峰、碳中和”目标的实施，天然气需求还将持续稳步增长。面对复杂动荡的国际能源市场风险挑战，继续加快提升油气生产供应能力，扎实推进绿色低碳转型，保障能源安全供应仍是行业首要任务。</w:t>
            </w:r>
          </w:p>
          <w:p w14:paraId="53F7B014"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公司现承接某工业厂区工业供蒸汽项目，由燃气锅炉供应。该厂区生产线产生浓玉米</w:t>
            </w:r>
            <w:proofErr w:type="gramStart"/>
            <w:r w:rsidRPr="00254D06">
              <w:rPr>
                <w:rFonts w:ascii="仿宋_GB2312" w:eastAsia="仿宋_GB2312" w:hint="eastAsia"/>
                <w:sz w:val="28"/>
                <w:szCs w:val="28"/>
              </w:rPr>
              <w:t>浆</w:t>
            </w:r>
            <w:proofErr w:type="gramEnd"/>
            <w:r w:rsidRPr="00254D06">
              <w:rPr>
                <w:rFonts w:ascii="仿宋_GB2312" w:eastAsia="仿宋_GB2312" w:hint="eastAsia"/>
                <w:sz w:val="28"/>
                <w:szCs w:val="28"/>
              </w:rPr>
              <w:t>作为副产物，浓</w:t>
            </w:r>
            <w:proofErr w:type="gramStart"/>
            <w:r w:rsidRPr="00254D06">
              <w:rPr>
                <w:rFonts w:ascii="仿宋_GB2312" w:eastAsia="仿宋_GB2312" w:hint="eastAsia"/>
                <w:sz w:val="28"/>
                <w:szCs w:val="28"/>
              </w:rPr>
              <w:t>玉米浆若直接</w:t>
            </w:r>
            <w:proofErr w:type="gramEnd"/>
            <w:r w:rsidRPr="00254D06">
              <w:rPr>
                <w:rFonts w:ascii="仿宋_GB2312" w:eastAsia="仿宋_GB2312" w:hint="eastAsia"/>
                <w:sz w:val="28"/>
                <w:szCs w:val="28"/>
              </w:rPr>
              <w:t>进行对外出售处理，其产生的经济效益有限。玉米</w:t>
            </w:r>
            <w:proofErr w:type="gramStart"/>
            <w:r w:rsidRPr="00254D06">
              <w:rPr>
                <w:rFonts w:ascii="仿宋_GB2312" w:eastAsia="仿宋_GB2312" w:hint="eastAsia"/>
                <w:sz w:val="28"/>
                <w:szCs w:val="28"/>
              </w:rPr>
              <w:t>浆</w:t>
            </w:r>
            <w:proofErr w:type="gramEnd"/>
            <w:r w:rsidRPr="00254D06">
              <w:rPr>
                <w:rFonts w:ascii="仿宋_GB2312" w:eastAsia="仿宋_GB2312" w:hint="eastAsia"/>
                <w:sz w:val="28"/>
                <w:szCs w:val="28"/>
              </w:rPr>
              <w:t>作为典型的生物质原料，具备回收利用的价值，可以通过生物质制</w:t>
            </w:r>
            <w:proofErr w:type="gramStart"/>
            <w:r w:rsidRPr="00254D06">
              <w:rPr>
                <w:rFonts w:ascii="仿宋_GB2312" w:eastAsia="仿宋_GB2312" w:hint="eastAsia"/>
                <w:sz w:val="28"/>
                <w:szCs w:val="28"/>
              </w:rPr>
              <w:t>气技术</w:t>
            </w:r>
            <w:proofErr w:type="gramEnd"/>
            <w:r w:rsidRPr="00254D06">
              <w:rPr>
                <w:rFonts w:ascii="仿宋_GB2312" w:eastAsia="仿宋_GB2312" w:hint="eastAsia"/>
                <w:sz w:val="28"/>
                <w:szCs w:val="28"/>
              </w:rPr>
              <w:t>制取甲烷，满足厂区部分蒸汽需求。</w:t>
            </w:r>
          </w:p>
          <w:p w14:paraId="602AE414" w14:textId="77777777" w:rsidR="00376225" w:rsidRPr="00254D06" w:rsidRDefault="00254D06">
            <w:pPr>
              <w:spacing w:line="400" w:lineRule="exact"/>
              <w:ind w:firstLineChars="200" w:firstLine="562"/>
              <w:rPr>
                <w:rFonts w:ascii="仿宋_GB2312" w:eastAsia="仿宋_GB2312"/>
                <w:b/>
                <w:bCs/>
                <w:sz w:val="28"/>
                <w:szCs w:val="28"/>
              </w:rPr>
            </w:pPr>
            <w:r w:rsidRPr="00254D06">
              <w:rPr>
                <w:rFonts w:ascii="仿宋_GB2312" w:eastAsia="仿宋_GB2312" w:hint="eastAsia"/>
                <w:b/>
                <w:bCs/>
                <w:sz w:val="28"/>
                <w:szCs w:val="28"/>
              </w:rPr>
              <w:t>2、存在的问题</w:t>
            </w:r>
          </w:p>
          <w:p w14:paraId="687CB3EC"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目前商业上比较常用的两种生物质转化生成天然气的方法是生物质厌氧发酵法和生物质气化得到的合成气再进行热化学制甲烷。</w:t>
            </w:r>
          </w:p>
          <w:p w14:paraId="130F4AB7"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目前公司主要生物质资源为高COD的工业废水、废液，例如制糖废水。目前制糖废水的处理技术现状主要为厌氧处理法。厌氧生物法的反应中存</w:t>
            </w:r>
            <w:r w:rsidRPr="00254D06">
              <w:rPr>
                <w:rFonts w:ascii="仿宋_GB2312" w:eastAsia="仿宋_GB2312" w:hint="eastAsia"/>
                <w:sz w:val="28"/>
                <w:szCs w:val="28"/>
              </w:rPr>
              <w:lastRenderedPageBreak/>
              <w:t>在产乙酸和产甲烷的过程，而参与反应的产酸菌和产甲烷菌必须有严格的条件控制，如若操作不当使反应器内部产酸过多，形成大量积累就会抑制产甲烷菌的正常代谢，不能正常利用挥发酸合成甲烷。而含水量高的生物质采用现有的热解气化技术路线，能耗高，不具备经济性。高COD的工业废水、废液的传统处理技术在实际应用中均存在一定的弊端。</w:t>
            </w:r>
          </w:p>
          <w:p w14:paraId="4CB20A1F" w14:textId="77777777" w:rsidR="00376225" w:rsidRPr="00254D06" w:rsidRDefault="00254D06">
            <w:pPr>
              <w:spacing w:line="400" w:lineRule="exact"/>
              <w:ind w:firstLineChars="200" w:firstLine="562"/>
              <w:rPr>
                <w:rFonts w:ascii="仿宋_GB2312" w:eastAsia="仿宋_GB2312"/>
                <w:b/>
                <w:bCs/>
                <w:sz w:val="28"/>
                <w:szCs w:val="28"/>
              </w:rPr>
            </w:pPr>
            <w:r w:rsidRPr="00254D06">
              <w:rPr>
                <w:rFonts w:ascii="仿宋_GB2312" w:eastAsia="仿宋_GB2312" w:hint="eastAsia"/>
                <w:b/>
                <w:bCs/>
                <w:sz w:val="28"/>
                <w:szCs w:val="28"/>
              </w:rPr>
              <w:t>3、项目研究目的、意义及必要性</w:t>
            </w:r>
          </w:p>
          <w:p w14:paraId="653B3794"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生物质制</w:t>
            </w:r>
            <w:proofErr w:type="gramStart"/>
            <w:r w:rsidRPr="00254D06">
              <w:rPr>
                <w:rFonts w:ascii="仿宋_GB2312" w:eastAsia="仿宋_GB2312" w:hint="eastAsia"/>
                <w:sz w:val="28"/>
                <w:szCs w:val="28"/>
              </w:rPr>
              <w:t>气技术</w:t>
            </w:r>
            <w:proofErr w:type="gramEnd"/>
            <w:r w:rsidRPr="00254D06">
              <w:rPr>
                <w:rFonts w:ascii="仿宋_GB2312" w:eastAsia="仿宋_GB2312" w:hint="eastAsia"/>
                <w:sz w:val="28"/>
                <w:szCs w:val="28"/>
              </w:rPr>
              <w:t>的实施可以实现生物质资源的有效利用，充分响应国家政策“推进生物质能多元化开发”，符合国家发展战略“加快发展生物天然气”的同时实现物尽其用，具有良好的环保效用和经济效益。</w:t>
            </w:r>
          </w:p>
          <w:p w14:paraId="2BD00D52" w14:textId="77777777" w:rsidR="00376225" w:rsidRPr="00254D06" w:rsidRDefault="00254D06">
            <w:pPr>
              <w:snapToGrid w:val="0"/>
              <w:spacing w:line="400" w:lineRule="exact"/>
              <w:rPr>
                <w:rFonts w:ascii="黑体" w:eastAsia="黑体" w:hAnsi="宋体"/>
                <w:color w:val="000000"/>
                <w:sz w:val="32"/>
                <w:szCs w:val="32"/>
              </w:rPr>
            </w:pPr>
            <w:r w:rsidRPr="00254D06">
              <w:rPr>
                <w:rFonts w:ascii="黑体" w:eastAsia="黑体" w:hAnsi="宋体" w:hint="eastAsia"/>
                <w:color w:val="000000"/>
                <w:sz w:val="32"/>
                <w:szCs w:val="32"/>
              </w:rPr>
              <w:t>二、主要技术瓶颈或攻关内容</w:t>
            </w:r>
          </w:p>
          <w:p w14:paraId="679BD37C" w14:textId="77777777" w:rsidR="00376225" w:rsidRPr="00254D06" w:rsidRDefault="00254D06">
            <w:pPr>
              <w:spacing w:line="400" w:lineRule="exact"/>
              <w:ind w:firstLineChars="200" w:firstLine="562"/>
              <w:rPr>
                <w:rFonts w:ascii="仿宋_GB2312" w:eastAsia="仿宋_GB2312"/>
                <w:b/>
                <w:bCs/>
                <w:sz w:val="28"/>
                <w:szCs w:val="28"/>
              </w:rPr>
            </w:pPr>
            <w:r w:rsidRPr="00254D06">
              <w:rPr>
                <w:rFonts w:ascii="仿宋_GB2312" w:eastAsia="仿宋_GB2312"/>
                <w:b/>
                <w:bCs/>
                <w:sz w:val="28"/>
                <w:szCs w:val="28"/>
              </w:rPr>
              <w:t>1</w:t>
            </w:r>
            <w:r w:rsidRPr="00254D06">
              <w:rPr>
                <w:rFonts w:ascii="仿宋_GB2312" w:eastAsia="仿宋_GB2312" w:hint="eastAsia"/>
                <w:b/>
                <w:bCs/>
                <w:sz w:val="28"/>
                <w:szCs w:val="28"/>
              </w:rPr>
              <w:t>、主要研究或攻关内容</w:t>
            </w:r>
          </w:p>
          <w:p w14:paraId="600D2DF0"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首先，结合实际用户需求实现生物质制甲烷系统的构建设计与流程优化；其次，针对系统中关键设备的工艺结构、参数测控、事故预防等方面开展详细工艺设计，形成关键核心设备的加工制造方案；再次，针对整体系统提出自动控制与调控策略，根据全局风险评估结果制定安全</w:t>
            </w:r>
            <w:proofErr w:type="gramStart"/>
            <w:r w:rsidRPr="00254D06">
              <w:rPr>
                <w:rFonts w:ascii="仿宋_GB2312" w:eastAsia="仿宋_GB2312" w:hint="eastAsia"/>
                <w:sz w:val="28"/>
                <w:szCs w:val="28"/>
              </w:rPr>
              <w:t>联锁</w:t>
            </w:r>
            <w:proofErr w:type="gramEnd"/>
            <w:r w:rsidRPr="00254D06">
              <w:rPr>
                <w:rFonts w:ascii="仿宋_GB2312" w:eastAsia="仿宋_GB2312" w:hint="eastAsia"/>
                <w:sz w:val="28"/>
                <w:szCs w:val="28"/>
              </w:rPr>
              <w:t>运行方案；最后，完成生物质制甲烷技术工艺包开发，为项目落地建设奠定基础。</w:t>
            </w:r>
          </w:p>
          <w:p w14:paraId="74A82D9F"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（1）生物质制甲烷系统构建与流程优化</w:t>
            </w:r>
          </w:p>
          <w:p w14:paraId="72EB1A01"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 xml:space="preserve">基于可行性研究报告中提出的系统初步流程，深度结合用户实际需求，构建生物质制甲烷系统工艺流程； </w:t>
            </w:r>
          </w:p>
          <w:p w14:paraId="40519246"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（2）关键核心设备详细工艺设计</w:t>
            </w:r>
          </w:p>
          <w:p w14:paraId="14654F4A"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针对关键核心设备的工艺、结构、密封等方面开展详细设计，形成切实可行的现场安装方案。</w:t>
            </w:r>
          </w:p>
          <w:p w14:paraId="0D9F84C8"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（3）系统自动调控策略与安全连锁运行</w:t>
            </w:r>
          </w:p>
          <w:p w14:paraId="3BB5974B"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研究主要设备的关键参数选取原则及控制逻辑，形成基于安全性与经济性的热力系统最优控制方案。</w:t>
            </w:r>
          </w:p>
          <w:p w14:paraId="4079D949"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（4）工艺包开发</w:t>
            </w:r>
          </w:p>
          <w:p w14:paraId="1D919279"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基于以上三项研究内容成果，开发生物质制甲烷技术工艺包，形成包含说明书、工艺流程图、初版管道仪表流程图、建议设备布置图、工艺设备一览表、工艺设备数据表、催化剂及化学品汇总表、材料手册、安全手册、操作手册及有关计算书等系列文件，为工程化设计奠定基础。</w:t>
            </w:r>
          </w:p>
          <w:p w14:paraId="74ACF456" w14:textId="77777777" w:rsidR="00376225" w:rsidRPr="00254D06" w:rsidRDefault="00254D06">
            <w:pPr>
              <w:spacing w:line="400" w:lineRule="exact"/>
              <w:ind w:firstLineChars="200" w:firstLine="562"/>
              <w:rPr>
                <w:rFonts w:ascii="仿宋_GB2312" w:eastAsia="仿宋_GB2312"/>
                <w:b/>
                <w:bCs/>
                <w:sz w:val="28"/>
                <w:szCs w:val="28"/>
              </w:rPr>
            </w:pPr>
            <w:r w:rsidRPr="00254D06">
              <w:rPr>
                <w:rFonts w:ascii="仿宋_GB2312" w:eastAsia="仿宋_GB2312"/>
                <w:b/>
                <w:bCs/>
                <w:sz w:val="28"/>
                <w:szCs w:val="28"/>
              </w:rPr>
              <w:t>2</w:t>
            </w:r>
            <w:r w:rsidRPr="00254D06">
              <w:rPr>
                <w:rFonts w:ascii="仿宋_GB2312" w:eastAsia="仿宋_GB2312" w:hint="eastAsia"/>
                <w:b/>
                <w:bCs/>
                <w:sz w:val="28"/>
                <w:szCs w:val="28"/>
              </w:rPr>
              <w:t>、现有工作基础及支撑条件</w:t>
            </w:r>
          </w:p>
          <w:p w14:paraId="2A2672EA" w14:textId="77777777" w:rsidR="00376225" w:rsidRPr="00254D06" w:rsidRDefault="00254D06">
            <w:pPr>
              <w:spacing w:line="400" w:lineRule="exact"/>
              <w:ind w:firstLineChars="200" w:firstLine="560"/>
              <w:rPr>
                <w:rFonts w:ascii="仿宋_GB2312" w:eastAsia="仿宋_GB2312"/>
                <w:sz w:val="28"/>
                <w:szCs w:val="28"/>
              </w:rPr>
            </w:pPr>
            <w:r w:rsidRPr="00254D06">
              <w:rPr>
                <w:rFonts w:ascii="仿宋_GB2312" w:eastAsia="仿宋_GB2312" w:hint="eastAsia"/>
                <w:sz w:val="28"/>
                <w:szCs w:val="28"/>
              </w:rPr>
              <w:t>公司现承接某工业厂区工业供蒸汽项目，由燃气锅炉供应。该厂区生产线产生浓玉米</w:t>
            </w:r>
            <w:proofErr w:type="gramStart"/>
            <w:r w:rsidRPr="00254D06">
              <w:rPr>
                <w:rFonts w:ascii="仿宋_GB2312" w:eastAsia="仿宋_GB2312" w:hint="eastAsia"/>
                <w:sz w:val="28"/>
                <w:szCs w:val="28"/>
              </w:rPr>
              <w:t>浆</w:t>
            </w:r>
            <w:proofErr w:type="gramEnd"/>
            <w:r w:rsidRPr="00254D06">
              <w:rPr>
                <w:rFonts w:ascii="仿宋_GB2312" w:eastAsia="仿宋_GB2312" w:hint="eastAsia"/>
                <w:sz w:val="28"/>
                <w:szCs w:val="28"/>
              </w:rPr>
              <w:t>作为副产物，浓</w:t>
            </w:r>
            <w:proofErr w:type="gramStart"/>
            <w:r w:rsidRPr="00254D06">
              <w:rPr>
                <w:rFonts w:ascii="仿宋_GB2312" w:eastAsia="仿宋_GB2312" w:hint="eastAsia"/>
                <w:sz w:val="28"/>
                <w:szCs w:val="28"/>
              </w:rPr>
              <w:t>玉米浆若直接</w:t>
            </w:r>
            <w:proofErr w:type="gramEnd"/>
            <w:r w:rsidRPr="00254D06">
              <w:rPr>
                <w:rFonts w:ascii="仿宋_GB2312" w:eastAsia="仿宋_GB2312" w:hint="eastAsia"/>
                <w:sz w:val="28"/>
                <w:szCs w:val="28"/>
              </w:rPr>
              <w:t>进行对外出售处理，其产</w:t>
            </w:r>
            <w:r w:rsidRPr="00254D06">
              <w:rPr>
                <w:rFonts w:ascii="仿宋_GB2312" w:eastAsia="仿宋_GB2312" w:hint="eastAsia"/>
                <w:sz w:val="28"/>
                <w:szCs w:val="28"/>
              </w:rPr>
              <w:lastRenderedPageBreak/>
              <w:t>生的经济效益有限。玉米</w:t>
            </w:r>
            <w:proofErr w:type="gramStart"/>
            <w:r w:rsidRPr="00254D06">
              <w:rPr>
                <w:rFonts w:ascii="仿宋_GB2312" w:eastAsia="仿宋_GB2312" w:hint="eastAsia"/>
                <w:sz w:val="28"/>
                <w:szCs w:val="28"/>
              </w:rPr>
              <w:t>浆</w:t>
            </w:r>
            <w:proofErr w:type="gramEnd"/>
            <w:r w:rsidRPr="00254D06">
              <w:rPr>
                <w:rFonts w:ascii="仿宋_GB2312" w:eastAsia="仿宋_GB2312" w:hint="eastAsia"/>
                <w:sz w:val="28"/>
                <w:szCs w:val="28"/>
              </w:rPr>
              <w:t>作为典型的生物质原料，具备回收利用的价值，可以通过生物质制</w:t>
            </w:r>
            <w:proofErr w:type="gramStart"/>
            <w:r w:rsidRPr="00254D06">
              <w:rPr>
                <w:rFonts w:ascii="仿宋_GB2312" w:eastAsia="仿宋_GB2312" w:hint="eastAsia"/>
                <w:sz w:val="28"/>
                <w:szCs w:val="28"/>
              </w:rPr>
              <w:t>气技术</w:t>
            </w:r>
            <w:proofErr w:type="gramEnd"/>
            <w:r w:rsidRPr="00254D06">
              <w:rPr>
                <w:rFonts w:ascii="仿宋_GB2312" w:eastAsia="仿宋_GB2312" w:hint="eastAsia"/>
                <w:sz w:val="28"/>
                <w:szCs w:val="28"/>
              </w:rPr>
              <w:t>制取甲烷，满足厂区部分蒸汽需求。</w:t>
            </w:r>
          </w:p>
          <w:p w14:paraId="20135599" w14:textId="77777777" w:rsidR="00376225" w:rsidRPr="00254D06" w:rsidRDefault="00254D06">
            <w:pPr>
              <w:snapToGrid w:val="0"/>
              <w:spacing w:line="400" w:lineRule="exact"/>
              <w:rPr>
                <w:rFonts w:ascii="黑体" w:eastAsia="黑体" w:hAnsi="宋体"/>
                <w:color w:val="000000"/>
                <w:sz w:val="32"/>
                <w:szCs w:val="32"/>
              </w:rPr>
            </w:pPr>
            <w:r w:rsidRPr="00254D06">
              <w:rPr>
                <w:rFonts w:ascii="黑体" w:eastAsia="黑体" w:hAnsi="宋体" w:hint="eastAsia"/>
                <w:color w:val="000000"/>
                <w:sz w:val="32"/>
                <w:szCs w:val="32"/>
              </w:rPr>
              <w:t>三</w:t>
            </w:r>
            <w:r w:rsidRPr="00254D06">
              <w:rPr>
                <w:rFonts w:ascii="黑体" w:eastAsia="黑体" w:hAnsi="宋体"/>
                <w:color w:val="000000"/>
                <w:sz w:val="32"/>
                <w:szCs w:val="32"/>
              </w:rPr>
              <w:t>、</w:t>
            </w:r>
            <w:r w:rsidRPr="00254D06">
              <w:rPr>
                <w:rFonts w:ascii="黑体" w:eastAsia="黑体" w:hAnsi="宋体" w:hint="eastAsia"/>
                <w:color w:val="000000"/>
                <w:sz w:val="32"/>
                <w:szCs w:val="32"/>
              </w:rPr>
              <w:t>攻关目标</w:t>
            </w:r>
          </w:p>
          <w:p w14:paraId="20C79936" w14:textId="77777777" w:rsidR="00376225" w:rsidRPr="00254D06" w:rsidRDefault="00254D06">
            <w:pPr>
              <w:snapToGrid w:val="0"/>
              <w:spacing w:line="400" w:lineRule="exact"/>
              <w:ind w:firstLineChars="200" w:firstLine="562"/>
              <w:rPr>
                <w:rFonts w:ascii="仿宋_GB2312" w:eastAsia="仿宋_GB2312" w:hAnsi="宋体"/>
                <w:b/>
                <w:bCs/>
                <w:color w:val="000000"/>
                <w:sz w:val="28"/>
                <w:szCs w:val="28"/>
              </w:rPr>
            </w:pPr>
            <w:r w:rsidRPr="00254D06">
              <w:rPr>
                <w:rFonts w:ascii="仿宋_GB2312" w:eastAsia="仿宋_GB2312" w:hAnsi="宋体" w:hint="eastAsia"/>
                <w:b/>
                <w:bCs/>
                <w:color w:val="000000"/>
                <w:sz w:val="28"/>
                <w:szCs w:val="28"/>
              </w:rPr>
              <w:t>1、总体目标</w:t>
            </w:r>
          </w:p>
          <w:p w14:paraId="244D8329" w14:textId="77777777" w:rsidR="00376225" w:rsidRPr="00254D06" w:rsidRDefault="00254D06">
            <w:pPr>
              <w:snapToGrid w:val="0"/>
              <w:spacing w:line="400" w:lineRule="exact"/>
              <w:ind w:firstLineChars="200" w:firstLine="560"/>
              <w:rPr>
                <w:rFonts w:ascii="仿宋_GB2312" w:eastAsia="仿宋_GB2312" w:hAnsi="宋体"/>
                <w:color w:val="000000"/>
                <w:sz w:val="28"/>
                <w:szCs w:val="28"/>
              </w:rPr>
            </w:pPr>
            <w:r w:rsidRPr="00254D06">
              <w:rPr>
                <w:rFonts w:ascii="仿宋_GB2312" w:eastAsia="仿宋_GB2312" w:hAnsi="宋体" w:hint="eastAsia"/>
                <w:color w:val="000000"/>
                <w:sz w:val="28"/>
                <w:szCs w:val="28"/>
              </w:rPr>
              <w:t>结合实际用户需求实现生物质制甲烷系统的构建设计与流程优化；针对系统中关键设备的工艺结构、参数测控、事故预防等方面开展详细工艺设计，形成关键核心设备的加工制造方案；针对整体系统提出自动控制与调控策略，根据全局风险评估结果制定安全</w:t>
            </w:r>
            <w:proofErr w:type="gramStart"/>
            <w:r w:rsidRPr="00254D06">
              <w:rPr>
                <w:rFonts w:ascii="仿宋_GB2312" w:eastAsia="仿宋_GB2312" w:hAnsi="宋体" w:hint="eastAsia"/>
                <w:color w:val="000000"/>
                <w:sz w:val="28"/>
                <w:szCs w:val="28"/>
              </w:rPr>
              <w:t>联锁</w:t>
            </w:r>
            <w:proofErr w:type="gramEnd"/>
            <w:r w:rsidRPr="00254D06">
              <w:rPr>
                <w:rFonts w:ascii="仿宋_GB2312" w:eastAsia="仿宋_GB2312" w:hAnsi="宋体" w:hint="eastAsia"/>
                <w:color w:val="000000"/>
                <w:sz w:val="28"/>
                <w:szCs w:val="28"/>
              </w:rPr>
              <w:t>运行方案；完成生物质制甲烷技术工艺包开发，为项目落地建设奠定基础。</w:t>
            </w:r>
          </w:p>
          <w:p w14:paraId="4CAD8DDE" w14:textId="77777777" w:rsidR="00376225" w:rsidRPr="00254D06" w:rsidRDefault="00254D06">
            <w:pPr>
              <w:snapToGrid w:val="0"/>
              <w:spacing w:line="400" w:lineRule="exact"/>
              <w:ind w:firstLineChars="200" w:firstLine="562"/>
              <w:rPr>
                <w:rFonts w:ascii="仿宋_GB2312" w:eastAsia="仿宋_GB2312" w:hAnsi="宋体"/>
                <w:b/>
                <w:bCs/>
                <w:color w:val="000000"/>
                <w:sz w:val="28"/>
                <w:szCs w:val="28"/>
              </w:rPr>
            </w:pPr>
            <w:r w:rsidRPr="00254D06">
              <w:rPr>
                <w:rFonts w:ascii="仿宋_GB2312" w:eastAsia="仿宋_GB2312" w:hAnsi="宋体" w:hint="eastAsia"/>
                <w:b/>
                <w:bCs/>
                <w:color w:val="000000"/>
                <w:sz w:val="28"/>
                <w:szCs w:val="28"/>
              </w:rPr>
              <w:t>2、主要技术指标</w:t>
            </w:r>
          </w:p>
          <w:p w14:paraId="39284C8C" w14:textId="5EDD04F0" w:rsidR="00376225" w:rsidRPr="00254D06" w:rsidRDefault="00254D06">
            <w:pPr>
              <w:snapToGrid w:val="0"/>
              <w:spacing w:line="400" w:lineRule="exact"/>
              <w:ind w:firstLineChars="200" w:firstLine="560"/>
              <w:rPr>
                <w:rFonts w:ascii="仿宋_GB2312" w:eastAsia="仿宋_GB2312" w:hAnsi="宋体"/>
                <w:color w:val="000000"/>
                <w:sz w:val="28"/>
                <w:szCs w:val="28"/>
              </w:rPr>
            </w:pPr>
            <w:r w:rsidRPr="00254D06">
              <w:rPr>
                <w:rFonts w:ascii="仿宋_GB2312" w:eastAsia="仿宋_GB2312" w:hint="eastAsia"/>
                <w:sz w:val="28"/>
                <w:szCs w:val="28"/>
              </w:rPr>
              <w:t>（1）</w:t>
            </w:r>
            <w:r w:rsidRPr="00254D06">
              <w:rPr>
                <w:rFonts w:ascii="仿宋_GB2312" w:eastAsia="仿宋_GB2312" w:hAnsi="宋体" w:hint="eastAsia"/>
                <w:color w:val="000000"/>
                <w:sz w:val="28"/>
                <w:szCs w:val="28"/>
              </w:rPr>
              <w:t>玉米浆（有机物浓度40%）年处理量为1.</w:t>
            </w:r>
            <w:r w:rsidR="0035386A">
              <w:rPr>
                <w:rFonts w:ascii="仿宋_GB2312" w:eastAsia="仿宋_GB2312" w:hAnsi="宋体"/>
                <w:color w:val="000000"/>
                <w:sz w:val="28"/>
                <w:szCs w:val="28"/>
              </w:rPr>
              <w:t>6</w:t>
            </w:r>
            <w:r w:rsidRPr="00254D06">
              <w:rPr>
                <w:rFonts w:ascii="仿宋_GB2312" w:eastAsia="仿宋_GB2312" w:hAnsi="宋体" w:hint="eastAsia"/>
                <w:color w:val="000000"/>
                <w:sz w:val="28"/>
                <w:szCs w:val="28"/>
              </w:rPr>
              <w:t>万吨；</w:t>
            </w:r>
          </w:p>
          <w:p w14:paraId="5A0D7AF6" w14:textId="3AD68968" w:rsidR="00376225" w:rsidRPr="00254D06" w:rsidRDefault="00254D06">
            <w:pPr>
              <w:snapToGrid w:val="0"/>
              <w:spacing w:line="400" w:lineRule="exact"/>
              <w:ind w:firstLineChars="200" w:firstLine="560"/>
              <w:rPr>
                <w:rFonts w:ascii="仿宋_GB2312" w:eastAsia="仿宋_GB2312" w:hAnsi="宋体"/>
                <w:color w:val="000000"/>
                <w:sz w:val="28"/>
                <w:szCs w:val="28"/>
              </w:rPr>
            </w:pPr>
            <w:r w:rsidRPr="00254D06">
              <w:rPr>
                <w:rFonts w:ascii="仿宋_GB2312" w:eastAsia="仿宋_GB2312" w:hint="eastAsia"/>
                <w:sz w:val="28"/>
                <w:szCs w:val="28"/>
              </w:rPr>
              <w:t>（2）</w:t>
            </w:r>
            <w:r w:rsidRPr="00254D06">
              <w:rPr>
                <w:rFonts w:ascii="仿宋_GB2312" w:eastAsia="仿宋_GB2312" w:hAnsi="宋体" w:hint="eastAsia"/>
                <w:color w:val="000000"/>
                <w:sz w:val="28"/>
                <w:szCs w:val="28"/>
              </w:rPr>
              <w:t>甲烷年产量不小于</w:t>
            </w:r>
            <w:r w:rsidR="009C79E6">
              <w:rPr>
                <w:rFonts w:ascii="仿宋_GB2312" w:eastAsia="仿宋_GB2312" w:hAnsi="宋体"/>
                <w:color w:val="000000"/>
                <w:sz w:val="28"/>
                <w:szCs w:val="28"/>
              </w:rPr>
              <w:t>200</w:t>
            </w:r>
            <w:r w:rsidRPr="00254D06">
              <w:rPr>
                <w:rFonts w:ascii="仿宋_GB2312" w:eastAsia="仿宋_GB2312" w:hAnsi="宋体" w:hint="eastAsia"/>
                <w:color w:val="000000"/>
                <w:sz w:val="28"/>
                <w:szCs w:val="28"/>
              </w:rPr>
              <w:t>万标方；</w:t>
            </w:r>
          </w:p>
          <w:p w14:paraId="523322FB" w14:textId="25793F47" w:rsidR="00376225" w:rsidRPr="00254D06" w:rsidRDefault="00254D06">
            <w:pPr>
              <w:snapToGrid w:val="0"/>
              <w:spacing w:line="400" w:lineRule="exact"/>
              <w:ind w:firstLineChars="200" w:firstLine="560"/>
              <w:rPr>
                <w:rFonts w:ascii="仿宋_GB2312" w:eastAsia="仿宋_GB2312" w:hAnsi="宋体"/>
                <w:color w:val="000000"/>
                <w:sz w:val="28"/>
                <w:szCs w:val="28"/>
              </w:rPr>
            </w:pPr>
            <w:r w:rsidRPr="00254D06">
              <w:rPr>
                <w:rFonts w:ascii="仿宋_GB2312" w:eastAsia="仿宋_GB2312" w:hint="eastAsia"/>
                <w:sz w:val="28"/>
                <w:szCs w:val="28"/>
              </w:rPr>
              <w:t>（3）</w:t>
            </w:r>
            <w:r w:rsidRPr="00254D06">
              <w:rPr>
                <w:rFonts w:ascii="仿宋_GB2312" w:eastAsia="仿宋_GB2312" w:hAnsi="宋体" w:hint="eastAsia"/>
                <w:color w:val="000000"/>
                <w:sz w:val="28"/>
                <w:szCs w:val="28"/>
              </w:rPr>
              <w:t>系统综合能率大于</w:t>
            </w:r>
            <w:r w:rsidR="0035386A">
              <w:rPr>
                <w:rFonts w:ascii="仿宋_GB2312" w:eastAsia="仿宋_GB2312" w:hAnsi="宋体"/>
                <w:color w:val="000000"/>
                <w:sz w:val="28"/>
                <w:szCs w:val="28"/>
              </w:rPr>
              <w:t>80</w:t>
            </w:r>
            <w:r w:rsidRPr="00254D06">
              <w:rPr>
                <w:rFonts w:ascii="仿宋_GB2312" w:eastAsia="仿宋_GB2312" w:hAnsi="宋体" w:hint="eastAsia"/>
                <w:color w:val="000000"/>
                <w:sz w:val="28"/>
                <w:szCs w:val="28"/>
              </w:rPr>
              <w:t>%。</w:t>
            </w:r>
          </w:p>
          <w:p w14:paraId="0ED1DB71" w14:textId="77777777" w:rsidR="00376225" w:rsidRPr="00254D06" w:rsidRDefault="00254D06">
            <w:pPr>
              <w:snapToGrid w:val="0"/>
              <w:spacing w:line="400" w:lineRule="exact"/>
              <w:ind w:firstLineChars="200" w:firstLine="562"/>
              <w:rPr>
                <w:rFonts w:ascii="仿宋_GB2312" w:eastAsia="仿宋_GB2312" w:hAnsi="宋体"/>
                <w:b/>
                <w:bCs/>
                <w:color w:val="000000"/>
                <w:sz w:val="28"/>
                <w:szCs w:val="28"/>
              </w:rPr>
            </w:pPr>
            <w:r w:rsidRPr="00254D06">
              <w:rPr>
                <w:rFonts w:ascii="仿宋_GB2312" w:eastAsia="仿宋_GB2312" w:hAnsi="宋体" w:hint="eastAsia"/>
                <w:b/>
                <w:bCs/>
                <w:color w:val="000000"/>
                <w:sz w:val="28"/>
                <w:szCs w:val="28"/>
              </w:rPr>
              <w:t>3、交付物</w:t>
            </w:r>
          </w:p>
          <w:p w14:paraId="23DC32E1" w14:textId="77777777" w:rsidR="00376225" w:rsidRPr="00254D06" w:rsidRDefault="00254D06">
            <w:pPr>
              <w:snapToGrid w:val="0"/>
              <w:spacing w:line="400" w:lineRule="exact"/>
              <w:ind w:firstLineChars="200" w:firstLine="560"/>
              <w:rPr>
                <w:rFonts w:ascii="仿宋_GB2312" w:eastAsia="仿宋_GB2312" w:hAnsi="宋体"/>
                <w:color w:val="000000"/>
                <w:sz w:val="28"/>
                <w:szCs w:val="28"/>
              </w:rPr>
            </w:pPr>
            <w:r w:rsidRPr="00254D06">
              <w:rPr>
                <w:rFonts w:ascii="仿宋_GB2312" w:eastAsia="仿宋_GB2312" w:hAnsi="宋体" w:hint="eastAsia"/>
                <w:color w:val="000000"/>
                <w:sz w:val="28"/>
                <w:szCs w:val="28"/>
              </w:rPr>
              <w:t>形成基于生物质制甲烷系统构建与流程优化、关键核心设备详细工艺设计、系统自动调控策略与安全连锁运行研究成果，开发生物质制甲烷技术工艺包1套，包含说明书、工艺流程图、初版管道仪表流程图、建议设备布置图、工艺设备一览表、工艺设备数据表、催化剂及化学品汇总表、材料手册、安全手册、操作手册及有关计算书等系列文件，为工程化设计奠定基础。</w:t>
            </w:r>
          </w:p>
          <w:p w14:paraId="51989763" w14:textId="77777777" w:rsidR="00376225" w:rsidRPr="00254D06" w:rsidRDefault="00254D06">
            <w:pPr>
              <w:snapToGrid w:val="0"/>
              <w:spacing w:line="400" w:lineRule="exact"/>
              <w:rPr>
                <w:rFonts w:ascii="黑体" w:eastAsia="黑体" w:hAnsi="宋体"/>
                <w:color w:val="000000"/>
                <w:sz w:val="32"/>
                <w:szCs w:val="32"/>
              </w:rPr>
            </w:pPr>
            <w:r w:rsidRPr="00254D06">
              <w:rPr>
                <w:rFonts w:ascii="黑体" w:eastAsia="黑体" w:hAnsi="宋体" w:hint="eastAsia"/>
                <w:color w:val="000000"/>
                <w:sz w:val="32"/>
                <w:szCs w:val="32"/>
              </w:rPr>
              <w:t>四</w:t>
            </w:r>
            <w:r w:rsidRPr="00254D06">
              <w:rPr>
                <w:rFonts w:ascii="黑体" w:eastAsia="黑体" w:hAnsi="宋体"/>
                <w:color w:val="000000"/>
                <w:sz w:val="32"/>
                <w:szCs w:val="32"/>
              </w:rPr>
              <w:t>、</w:t>
            </w:r>
            <w:r w:rsidRPr="00254D06">
              <w:rPr>
                <w:rFonts w:ascii="黑体" w:eastAsia="黑体" w:hAnsi="宋体" w:hint="eastAsia"/>
                <w:color w:val="000000"/>
                <w:sz w:val="32"/>
                <w:szCs w:val="32"/>
              </w:rPr>
              <w:t>相关要求</w:t>
            </w:r>
          </w:p>
          <w:p w14:paraId="65F48CE6" w14:textId="77777777" w:rsidR="00376225" w:rsidRPr="00254D06" w:rsidRDefault="00254D06">
            <w:pPr>
              <w:spacing w:line="400" w:lineRule="exact"/>
              <w:ind w:firstLineChars="200" w:firstLine="562"/>
              <w:rPr>
                <w:rFonts w:ascii="仿宋_GB2312" w:eastAsia="仿宋_GB2312" w:hAnsi="宋体"/>
                <w:b/>
                <w:bCs/>
                <w:color w:val="000000"/>
                <w:sz w:val="28"/>
                <w:szCs w:val="28"/>
              </w:rPr>
            </w:pPr>
            <w:r w:rsidRPr="00254D06">
              <w:rPr>
                <w:rFonts w:ascii="仿宋_GB2312" w:eastAsia="仿宋_GB2312" w:hAnsi="宋体" w:hint="eastAsia"/>
                <w:b/>
                <w:bCs/>
                <w:color w:val="000000"/>
                <w:sz w:val="28"/>
                <w:szCs w:val="28"/>
              </w:rPr>
              <w:t>1、经费预算：</w:t>
            </w:r>
          </w:p>
          <w:p w14:paraId="71CE4EE2" w14:textId="45B6C48D" w:rsidR="00376225" w:rsidRPr="00254D06" w:rsidRDefault="00254D06">
            <w:pPr>
              <w:spacing w:line="400" w:lineRule="exact"/>
              <w:ind w:firstLineChars="200" w:firstLine="560"/>
              <w:rPr>
                <w:rFonts w:ascii="仿宋_GB2312" w:eastAsia="仿宋_GB2312" w:hAnsi="宋体"/>
                <w:color w:val="000000"/>
                <w:sz w:val="28"/>
                <w:szCs w:val="28"/>
              </w:rPr>
            </w:pPr>
            <w:r w:rsidRPr="00254D06">
              <w:rPr>
                <w:rFonts w:ascii="仿宋_GB2312" w:eastAsia="仿宋_GB2312" w:hAnsi="宋体" w:hint="eastAsia"/>
                <w:color w:val="000000"/>
                <w:sz w:val="28"/>
                <w:szCs w:val="28"/>
              </w:rPr>
              <w:t>总费用不高于300万元，</w:t>
            </w:r>
            <w:r w:rsidRPr="00254D06">
              <w:rPr>
                <w:rFonts w:ascii="仿宋_GB2312" w:eastAsia="仿宋_GB2312" w:hint="eastAsia"/>
                <w:bCs/>
                <w:sz w:val="28"/>
                <w:szCs w:val="28"/>
              </w:rPr>
              <w:t>包含完成该项目需要的</w:t>
            </w:r>
            <w:r w:rsidR="0053291D">
              <w:rPr>
                <w:rFonts w:ascii="仿宋_GB2312" w:eastAsia="仿宋_GB2312" w:hint="eastAsia"/>
                <w:bCs/>
                <w:sz w:val="28"/>
                <w:szCs w:val="28"/>
              </w:rPr>
              <w:t>系统方案设计、工艺包开发、技术成果申报</w:t>
            </w:r>
            <w:r w:rsidRPr="00254D06">
              <w:rPr>
                <w:rFonts w:ascii="仿宋_GB2312" w:eastAsia="仿宋_GB2312" w:hint="eastAsia"/>
                <w:bCs/>
                <w:sz w:val="28"/>
                <w:szCs w:val="28"/>
              </w:rPr>
              <w:t>等所有费用。</w:t>
            </w:r>
          </w:p>
          <w:p w14:paraId="12B5338F" w14:textId="77777777" w:rsidR="00376225" w:rsidRPr="00254D06" w:rsidRDefault="00254D06">
            <w:pPr>
              <w:numPr>
                <w:ilvl w:val="0"/>
                <w:numId w:val="1"/>
              </w:numPr>
              <w:spacing w:line="400" w:lineRule="exact"/>
              <w:ind w:firstLineChars="200" w:firstLine="562"/>
              <w:rPr>
                <w:rFonts w:ascii="仿宋_GB2312" w:eastAsia="仿宋_GB2312" w:hAnsi="宋体"/>
                <w:b/>
                <w:bCs/>
                <w:color w:val="000000"/>
                <w:sz w:val="28"/>
                <w:szCs w:val="28"/>
              </w:rPr>
            </w:pPr>
            <w:r w:rsidRPr="00254D06">
              <w:rPr>
                <w:rFonts w:ascii="仿宋_GB2312" w:eastAsia="仿宋_GB2312" w:hAnsi="宋体" w:hint="eastAsia"/>
                <w:b/>
                <w:bCs/>
                <w:color w:val="000000"/>
                <w:sz w:val="28"/>
                <w:szCs w:val="28"/>
              </w:rPr>
              <w:t>知识产权归属</w:t>
            </w:r>
          </w:p>
          <w:p w14:paraId="4C87A760" w14:textId="77777777" w:rsidR="00376225" w:rsidRPr="00254D06" w:rsidRDefault="00254D06">
            <w:pPr>
              <w:spacing w:line="400" w:lineRule="exact"/>
              <w:ind w:firstLineChars="200" w:firstLine="560"/>
              <w:rPr>
                <w:rFonts w:ascii="仿宋_GB2312" w:eastAsia="仿宋_GB2312" w:hAnsi="宋体"/>
                <w:color w:val="000000"/>
                <w:sz w:val="28"/>
                <w:szCs w:val="28"/>
              </w:rPr>
            </w:pPr>
            <w:r w:rsidRPr="00254D06">
              <w:rPr>
                <w:rFonts w:ascii="仿宋_GB2312" w:eastAsia="仿宋_GB2312" w:hAnsi="宋体" w:hint="eastAsia"/>
                <w:color w:val="000000"/>
                <w:sz w:val="28"/>
                <w:szCs w:val="28"/>
              </w:rPr>
              <w:t>在合作过程中，双方共同研发的技术成果和知识产权</w:t>
            </w:r>
            <w:proofErr w:type="gramStart"/>
            <w:r w:rsidRPr="00254D06">
              <w:rPr>
                <w:rFonts w:ascii="仿宋_GB2312" w:eastAsia="仿宋_GB2312" w:hAnsi="宋体" w:hint="eastAsia"/>
                <w:color w:val="000000"/>
                <w:sz w:val="28"/>
                <w:szCs w:val="28"/>
              </w:rPr>
              <w:t>归需求</w:t>
            </w:r>
            <w:proofErr w:type="gramEnd"/>
            <w:r w:rsidRPr="00254D06">
              <w:rPr>
                <w:rFonts w:ascii="仿宋_GB2312" w:eastAsia="仿宋_GB2312" w:hAnsi="宋体" w:hint="eastAsia"/>
                <w:color w:val="000000"/>
                <w:sz w:val="28"/>
                <w:szCs w:val="28"/>
              </w:rPr>
              <w:t>方所有。</w:t>
            </w:r>
          </w:p>
          <w:p w14:paraId="0B2CF115" w14:textId="77777777" w:rsidR="00376225" w:rsidRPr="00254D06" w:rsidRDefault="00254D06">
            <w:pPr>
              <w:numPr>
                <w:ilvl w:val="0"/>
                <w:numId w:val="1"/>
              </w:numPr>
              <w:spacing w:line="400" w:lineRule="exact"/>
              <w:ind w:firstLineChars="200" w:firstLine="562"/>
              <w:rPr>
                <w:rFonts w:ascii="仿宋_GB2312" w:eastAsia="仿宋_GB2312" w:hAnsi="宋体"/>
                <w:b/>
                <w:bCs/>
                <w:color w:val="000000"/>
                <w:sz w:val="28"/>
                <w:szCs w:val="28"/>
              </w:rPr>
            </w:pPr>
            <w:r w:rsidRPr="00254D06">
              <w:rPr>
                <w:rFonts w:ascii="仿宋_GB2312" w:eastAsia="仿宋_GB2312" w:hAnsi="宋体" w:hint="eastAsia"/>
                <w:b/>
                <w:bCs/>
                <w:color w:val="000000"/>
                <w:sz w:val="28"/>
                <w:szCs w:val="28"/>
              </w:rPr>
              <w:t>其它要求</w:t>
            </w:r>
          </w:p>
          <w:p w14:paraId="2148C2A2" w14:textId="646C1BD6" w:rsidR="00DE016F" w:rsidRPr="00DE016F" w:rsidRDefault="00DE016F" w:rsidP="00DE016F">
            <w:pPr>
              <w:spacing w:line="400" w:lineRule="exact"/>
              <w:ind w:firstLineChars="200" w:firstLine="560"/>
              <w:rPr>
                <w:rFonts w:ascii="仿宋_GB2312" w:eastAsia="仿宋_GB2312" w:hAnsi="宋体"/>
                <w:sz w:val="28"/>
                <w:szCs w:val="28"/>
              </w:rPr>
            </w:pPr>
            <w:r w:rsidRPr="00DE016F">
              <w:rPr>
                <w:rFonts w:ascii="仿宋_GB2312" w:eastAsia="仿宋_GB2312" w:hAnsi="宋体" w:hint="eastAsia"/>
                <w:sz w:val="28"/>
                <w:szCs w:val="28"/>
              </w:rPr>
              <w:t>（1）截止发榜日，揭榜单位须承担过与揭榜内容密切相关的国家科研课题并结题，或拥有已建成投运的生物质制</w:t>
            </w:r>
            <w:proofErr w:type="gramStart"/>
            <w:r w:rsidRPr="00DE016F">
              <w:rPr>
                <w:rFonts w:ascii="仿宋_GB2312" w:eastAsia="仿宋_GB2312" w:hAnsi="宋体" w:hint="eastAsia"/>
                <w:sz w:val="28"/>
                <w:szCs w:val="28"/>
              </w:rPr>
              <w:t>气项目</w:t>
            </w:r>
            <w:proofErr w:type="gramEnd"/>
            <w:r w:rsidRPr="00DE016F">
              <w:rPr>
                <w:rFonts w:ascii="仿宋_GB2312" w:eastAsia="仿宋_GB2312" w:hAnsi="宋体" w:hint="eastAsia"/>
                <w:sz w:val="28"/>
                <w:szCs w:val="28"/>
              </w:rPr>
              <w:t>案例。</w:t>
            </w:r>
            <w:r w:rsidR="00AC5176" w:rsidRPr="00E564E7">
              <w:rPr>
                <w:rFonts w:ascii="仿宋_GB2312" w:eastAsia="仿宋_GB2312" w:hAnsi="宋体" w:hint="eastAsia"/>
                <w:sz w:val="28"/>
                <w:szCs w:val="28"/>
              </w:rPr>
              <w:t>若联合体揭榜，各成员单位均须满足以上条件。</w:t>
            </w:r>
          </w:p>
          <w:p w14:paraId="562978FC" w14:textId="293450E5" w:rsidR="002E4E44" w:rsidRPr="00F3772D" w:rsidRDefault="00DE016F" w:rsidP="00F3772D">
            <w:pPr>
              <w:spacing w:line="400" w:lineRule="exact"/>
              <w:ind w:firstLineChars="200" w:firstLine="560"/>
              <w:rPr>
                <w:rFonts w:ascii="仿宋_GB2312" w:eastAsia="仿宋_GB2312" w:hAnsi="宋体" w:hint="eastAsia"/>
                <w:sz w:val="28"/>
                <w:szCs w:val="28"/>
              </w:rPr>
            </w:pPr>
            <w:r w:rsidRPr="00DE016F">
              <w:rPr>
                <w:rFonts w:ascii="仿宋_GB2312" w:eastAsia="仿宋_GB2312" w:hAnsi="宋体" w:hint="eastAsia"/>
                <w:sz w:val="28"/>
                <w:szCs w:val="28"/>
              </w:rPr>
              <w:t>（</w:t>
            </w:r>
            <w:r w:rsidR="002E4E44">
              <w:rPr>
                <w:rFonts w:ascii="仿宋_GB2312" w:eastAsia="仿宋_GB2312" w:hAnsi="宋体" w:hint="eastAsia"/>
                <w:sz w:val="28"/>
                <w:szCs w:val="28"/>
              </w:rPr>
              <w:t>2</w:t>
            </w:r>
            <w:r w:rsidRPr="00DE016F">
              <w:rPr>
                <w:rFonts w:ascii="仿宋_GB2312" w:eastAsia="仿宋_GB2312" w:hAnsi="宋体" w:hint="eastAsia"/>
                <w:sz w:val="28"/>
                <w:szCs w:val="28"/>
              </w:rPr>
              <w:t>）项目负责人须由入选国家级人才计划的相关专家担任，且完成或正在承担国家重点研发计划项目等国家级重大项目</w:t>
            </w:r>
            <w:r w:rsidR="00D07C99">
              <w:rPr>
                <w:rFonts w:ascii="仿宋_GB2312" w:eastAsia="仿宋_GB2312" w:hAnsi="宋体" w:hint="eastAsia"/>
                <w:sz w:val="28"/>
                <w:szCs w:val="28"/>
              </w:rPr>
              <w:t>。</w:t>
            </w:r>
          </w:p>
        </w:tc>
      </w:tr>
    </w:tbl>
    <w:p w14:paraId="4F2CE385" w14:textId="77777777" w:rsidR="00376225" w:rsidRDefault="00376225">
      <w:pPr>
        <w:rPr>
          <w:rFonts w:ascii="方正小标宋_GBK" w:eastAsia="方正小标宋_GBK" w:hAnsi="方正小标宋_GBK" w:cs="方正小标宋_GBK"/>
          <w:sz w:val="10"/>
          <w:szCs w:val="10"/>
        </w:rPr>
      </w:pPr>
    </w:p>
    <w:sectPr w:rsidR="00376225">
      <w:footerReference w:type="default" r:id="rId9"/>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DAFB" w14:textId="77777777" w:rsidR="0084465A" w:rsidRDefault="00254D06">
      <w:r>
        <w:separator/>
      </w:r>
    </w:p>
  </w:endnote>
  <w:endnote w:type="continuationSeparator" w:id="0">
    <w:p w14:paraId="2259DFE3" w14:textId="77777777" w:rsidR="0084465A" w:rsidRDefault="0025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8251" w14:textId="77777777" w:rsidR="00376225" w:rsidRDefault="00254D06">
    <w:pPr>
      <w:pStyle w:val="a3"/>
      <w:tabs>
        <w:tab w:val="clear" w:pos="4153"/>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EAA3" w14:textId="77777777" w:rsidR="00376225" w:rsidRDefault="00254D06">
    <w:pPr>
      <w:pStyle w:val="a3"/>
      <w:tabs>
        <w:tab w:val="clear" w:pos="4153"/>
      </w:tabs>
    </w:pPr>
    <w:r>
      <w:rPr>
        <w:noProof/>
      </w:rPr>
      <mc:AlternateContent>
        <mc:Choice Requires="wps">
          <w:drawing>
            <wp:anchor distT="0" distB="0" distL="114300" distR="114300" simplePos="0" relativeHeight="251659264" behindDoc="0" locked="0" layoutInCell="1" allowOverlap="1" wp14:anchorId="613F35EF" wp14:editId="5104FF98">
              <wp:simplePos x="0" y="0"/>
              <wp:positionH relativeFrom="margin">
                <wp:align>center</wp:align>
              </wp:positionH>
              <wp:positionV relativeFrom="paragraph">
                <wp:posOffset>0</wp:posOffset>
              </wp:positionV>
              <wp:extent cx="381635" cy="197485"/>
              <wp:effectExtent l="0" t="0" r="0" b="0"/>
              <wp:wrapNone/>
              <wp:docPr id="49039519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wps:spPr>
                    <wps:txbx>
                      <w:txbxContent>
                        <w:p w14:paraId="47CE4807" w14:textId="77777777" w:rsidR="00376225" w:rsidRDefault="00254D06">
                          <w:pPr>
                            <w:pStyle w:val="a3"/>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p>
                      </w:txbxContent>
                    </wps:txbx>
                    <wps:bodyPr rot="0" vert="horz" wrap="none" lIns="0" tIns="0" rIns="0" bIns="0" anchor="t" anchorCtr="0" upright="1">
                      <a:spAutoFit/>
                    </wps:bodyPr>
                  </wps:wsp>
                </a:graphicData>
              </a:graphic>
            </wp:anchor>
          </w:drawing>
        </mc:Choice>
        <mc:Fallback>
          <w:pict>
            <v:shapetype w14:anchorId="613F35EF" id="_x0000_t202" coordsize="21600,21600" o:spt="202" path="m,l,21600r21600,l21600,xe">
              <v:stroke joinstyle="miter"/>
              <v:path gradientshapeok="t" o:connecttype="rect"/>
            </v:shapetype>
            <v:shape id="文本框 2" o:spid="_x0000_s1026" type="#_x0000_t202" style="position:absolute;margin-left:0;margin-top:0;width:30.05pt;height:15.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" filled="f" stroked="f">
              <v:textbox style="mso-fit-shape-to-text:t" inset="0,0,0,0">
                <w:txbxContent>
                  <w:p w14:paraId="47CE4807" w14:textId="77777777" w:rsidR="00376225" w:rsidRDefault="00254D06">
                    <w:pPr>
                      <w:pStyle w:val="a3"/>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1453A" w14:textId="77777777" w:rsidR="0084465A" w:rsidRDefault="00254D06">
      <w:r>
        <w:separator/>
      </w:r>
    </w:p>
  </w:footnote>
  <w:footnote w:type="continuationSeparator" w:id="0">
    <w:p w14:paraId="0EAF2C6D" w14:textId="77777777" w:rsidR="0084465A" w:rsidRDefault="00254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0079D"/>
    <w:multiLevelType w:val="singleLevel"/>
    <w:tmpl w:val="3DD0079D"/>
    <w:lvl w:ilvl="0">
      <w:start w:val="2"/>
      <w:numFmt w:val="decimal"/>
      <w:suff w:val="nothing"/>
      <w:lvlText w:val="%1、"/>
      <w:lvlJc w:val="left"/>
    </w:lvl>
  </w:abstractNum>
  <w:num w:numId="1" w16cid:durableId="52182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0C"/>
    <w:rsid w:val="00037185"/>
    <w:rsid w:val="00050BC9"/>
    <w:rsid w:val="00111D1B"/>
    <w:rsid w:val="0021164B"/>
    <w:rsid w:val="00216D9A"/>
    <w:rsid w:val="00254D06"/>
    <w:rsid w:val="002E4E44"/>
    <w:rsid w:val="00310F1C"/>
    <w:rsid w:val="0035386A"/>
    <w:rsid w:val="00360F14"/>
    <w:rsid w:val="00376225"/>
    <w:rsid w:val="0040575D"/>
    <w:rsid w:val="00410707"/>
    <w:rsid w:val="0048590C"/>
    <w:rsid w:val="004A6207"/>
    <w:rsid w:val="004C158F"/>
    <w:rsid w:val="004E67F2"/>
    <w:rsid w:val="004F6057"/>
    <w:rsid w:val="004F64A7"/>
    <w:rsid w:val="0053291D"/>
    <w:rsid w:val="00543578"/>
    <w:rsid w:val="005F1FD0"/>
    <w:rsid w:val="00646ACA"/>
    <w:rsid w:val="00671BE2"/>
    <w:rsid w:val="006A0104"/>
    <w:rsid w:val="006B3E4E"/>
    <w:rsid w:val="006D6E6A"/>
    <w:rsid w:val="00752013"/>
    <w:rsid w:val="007753F6"/>
    <w:rsid w:val="007F182D"/>
    <w:rsid w:val="00835B40"/>
    <w:rsid w:val="0084465A"/>
    <w:rsid w:val="00855946"/>
    <w:rsid w:val="008C57D5"/>
    <w:rsid w:val="00957B70"/>
    <w:rsid w:val="009B7472"/>
    <w:rsid w:val="009C38EB"/>
    <w:rsid w:val="009C79E6"/>
    <w:rsid w:val="00AC5176"/>
    <w:rsid w:val="00B027EB"/>
    <w:rsid w:val="00B0551A"/>
    <w:rsid w:val="00B27F25"/>
    <w:rsid w:val="00B3701B"/>
    <w:rsid w:val="00B452E2"/>
    <w:rsid w:val="00B72BEB"/>
    <w:rsid w:val="00B75A50"/>
    <w:rsid w:val="00B96EDB"/>
    <w:rsid w:val="00BB5EBA"/>
    <w:rsid w:val="00CB783E"/>
    <w:rsid w:val="00D07C99"/>
    <w:rsid w:val="00D10C4E"/>
    <w:rsid w:val="00D16917"/>
    <w:rsid w:val="00D24B8C"/>
    <w:rsid w:val="00D408DB"/>
    <w:rsid w:val="00DA20F9"/>
    <w:rsid w:val="00DD2227"/>
    <w:rsid w:val="00DE016F"/>
    <w:rsid w:val="00E01487"/>
    <w:rsid w:val="00E35FF5"/>
    <w:rsid w:val="00E43769"/>
    <w:rsid w:val="00E564E7"/>
    <w:rsid w:val="00ED140C"/>
    <w:rsid w:val="00F16832"/>
    <w:rsid w:val="00F27A5E"/>
    <w:rsid w:val="00F3772D"/>
    <w:rsid w:val="00F55155"/>
    <w:rsid w:val="00F659EB"/>
    <w:rsid w:val="00F96AE6"/>
    <w:rsid w:val="00FD1759"/>
    <w:rsid w:val="01F915EA"/>
    <w:rsid w:val="083A41FD"/>
    <w:rsid w:val="10504670"/>
    <w:rsid w:val="199636D4"/>
    <w:rsid w:val="1A9C2E5C"/>
    <w:rsid w:val="1DC6612A"/>
    <w:rsid w:val="271606DC"/>
    <w:rsid w:val="2BA9219A"/>
    <w:rsid w:val="31292AEE"/>
    <w:rsid w:val="31B9572F"/>
    <w:rsid w:val="39F16D4C"/>
    <w:rsid w:val="3A722380"/>
    <w:rsid w:val="3AB61374"/>
    <w:rsid w:val="3C4728F3"/>
    <w:rsid w:val="46FD2F2F"/>
    <w:rsid w:val="540354BF"/>
    <w:rsid w:val="55065BB8"/>
    <w:rsid w:val="5B56730A"/>
    <w:rsid w:val="62B578D4"/>
    <w:rsid w:val="62FD6426"/>
    <w:rsid w:val="6405342B"/>
    <w:rsid w:val="686B3EA6"/>
    <w:rsid w:val="6B1A6237"/>
    <w:rsid w:val="6F673407"/>
    <w:rsid w:val="72493DB6"/>
    <w:rsid w:val="7515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87E81"/>
  <w15:docId w15:val="{F3797C90-4834-4751-ACEC-6F104DC3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4"/>
    </w:rPr>
  </w:style>
  <w:style w:type="paragraph" w:styleId="3">
    <w:name w:val="heading 3"/>
    <w:basedOn w:val="a"/>
    <w:next w:val="a"/>
    <w:qFormat/>
    <w:pPr>
      <w:keepNext/>
      <w:keepLines/>
      <w:spacing w:before="260" w:after="260" w:line="416" w:lineRule="auto"/>
      <w:jc w:val="center"/>
      <w:outlineLvl w:val="2"/>
    </w:pPr>
    <w:rPr>
      <w:rFonts w:ascii="宋体"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2555</Words>
  <Characters>179</Characters>
  <Application>Microsoft Office Word</Application>
  <DocSecurity>0</DocSecurity>
  <Lines>1</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 旸</cp:lastModifiedBy>
  <cp:revision>17</cp:revision>
  <dcterms:created xsi:type="dcterms:W3CDTF">2023-05-09T02:28:00Z</dcterms:created>
  <dcterms:modified xsi:type="dcterms:W3CDTF">2023-05-10T01:46:00Z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